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52" w:rsidRDefault="003A0752" w:rsidP="00DB1165">
      <w:pPr>
        <w:pStyle w:val="a3"/>
        <w:ind w:left="0" w:firstLine="6946"/>
        <w:jc w:val="left"/>
        <w:rPr>
          <w:b w:val="0"/>
          <w:sz w:val="24"/>
        </w:rPr>
      </w:pPr>
    </w:p>
    <w:p w:rsidR="00C32CF4" w:rsidRPr="009F1426" w:rsidRDefault="00DB1165" w:rsidP="00DB1165">
      <w:pPr>
        <w:pStyle w:val="a3"/>
        <w:ind w:left="0" w:firstLine="6946"/>
        <w:jc w:val="left"/>
        <w:rPr>
          <w:b w:val="0"/>
          <w:sz w:val="24"/>
        </w:rPr>
      </w:pPr>
      <w:r w:rsidRPr="009F1426">
        <w:rPr>
          <w:b w:val="0"/>
          <w:sz w:val="24"/>
        </w:rPr>
        <w:t>«Утверждено»</w:t>
      </w:r>
    </w:p>
    <w:p w:rsidR="00DB1165" w:rsidRPr="009F1426" w:rsidRDefault="00EC4381" w:rsidP="00DB1165">
      <w:pPr>
        <w:pStyle w:val="a3"/>
        <w:ind w:left="0" w:firstLine="6946"/>
        <w:jc w:val="left"/>
        <w:rPr>
          <w:b w:val="0"/>
          <w:sz w:val="24"/>
        </w:rPr>
      </w:pPr>
      <w:r w:rsidRPr="009F1426">
        <w:rPr>
          <w:b w:val="0"/>
          <w:sz w:val="24"/>
        </w:rPr>
        <w:t>1 сентября</w:t>
      </w:r>
      <w:r w:rsidR="00D01A16" w:rsidRPr="009F1426">
        <w:rPr>
          <w:b w:val="0"/>
          <w:sz w:val="24"/>
        </w:rPr>
        <w:t xml:space="preserve"> 2020 </w:t>
      </w:r>
      <w:r w:rsidR="00DB1165" w:rsidRPr="009F1426">
        <w:rPr>
          <w:b w:val="0"/>
          <w:sz w:val="24"/>
        </w:rPr>
        <w:t>года</w:t>
      </w:r>
    </w:p>
    <w:p w:rsidR="00DB1165" w:rsidRPr="009F1426" w:rsidRDefault="00DB1165" w:rsidP="00DB1165">
      <w:pPr>
        <w:pStyle w:val="a3"/>
        <w:ind w:left="0" w:firstLine="6946"/>
        <w:jc w:val="left"/>
        <w:rPr>
          <w:b w:val="0"/>
          <w:sz w:val="24"/>
        </w:rPr>
      </w:pPr>
      <w:r w:rsidRPr="009F1426">
        <w:rPr>
          <w:b w:val="0"/>
          <w:sz w:val="24"/>
        </w:rPr>
        <w:t>Председатель Попечительского</w:t>
      </w:r>
    </w:p>
    <w:p w:rsidR="00DB1165" w:rsidRPr="009F1426" w:rsidRDefault="00DB1165" w:rsidP="00DB1165">
      <w:pPr>
        <w:pStyle w:val="a3"/>
        <w:ind w:left="0" w:firstLine="6946"/>
        <w:jc w:val="left"/>
        <w:rPr>
          <w:b w:val="0"/>
          <w:sz w:val="24"/>
        </w:rPr>
      </w:pPr>
      <w:r w:rsidRPr="009F1426">
        <w:rPr>
          <w:b w:val="0"/>
          <w:sz w:val="24"/>
        </w:rPr>
        <w:t xml:space="preserve">Совета Фонда РФИ </w:t>
      </w:r>
    </w:p>
    <w:p w:rsidR="00DB1165" w:rsidRPr="009F1426" w:rsidRDefault="00DB1165" w:rsidP="00DB1165">
      <w:pPr>
        <w:pStyle w:val="a3"/>
        <w:ind w:left="0" w:firstLine="6946"/>
        <w:jc w:val="left"/>
        <w:rPr>
          <w:b w:val="0"/>
          <w:sz w:val="24"/>
        </w:rPr>
      </w:pPr>
      <w:r w:rsidRPr="009F1426">
        <w:rPr>
          <w:b w:val="0"/>
          <w:sz w:val="24"/>
        </w:rPr>
        <w:t>«Инфраструктурный институт»</w:t>
      </w:r>
    </w:p>
    <w:p w:rsidR="00DB1165" w:rsidRPr="009F1426" w:rsidRDefault="00DB1165" w:rsidP="00DB1165">
      <w:pPr>
        <w:pStyle w:val="a3"/>
        <w:ind w:left="0" w:firstLine="6946"/>
        <w:jc w:val="left"/>
        <w:rPr>
          <w:b w:val="0"/>
          <w:sz w:val="24"/>
        </w:rPr>
      </w:pPr>
      <w:r w:rsidRPr="009F1426">
        <w:rPr>
          <w:b w:val="0"/>
          <w:sz w:val="24"/>
        </w:rPr>
        <w:t>_______________ П.М. Лансков</w:t>
      </w:r>
    </w:p>
    <w:p w:rsidR="00DB1165" w:rsidRPr="009F1426" w:rsidRDefault="00DB1165" w:rsidP="00221A81">
      <w:pPr>
        <w:pStyle w:val="a3"/>
        <w:spacing w:after="120"/>
        <w:ind w:left="0"/>
        <w:jc w:val="both"/>
        <w:rPr>
          <w:sz w:val="24"/>
        </w:rPr>
      </w:pPr>
    </w:p>
    <w:p w:rsidR="00973DD0" w:rsidRPr="009F1426" w:rsidRDefault="00701DA7">
      <w:pPr>
        <w:pStyle w:val="a3"/>
        <w:spacing w:after="120"/>
        <w:ind w:left="0"/>
        <w:rPr>
          <w:sz w:val="24"/>
        </w:rPr>
      </w:pPr>
      <w:r w:rsidRPr="009F1426">
        <w:rPr>
          <w:sz w:val="24"/>
        </w:rPr>
        <w:t>Методика определения совокупной взвешенной оценки (рейтинга) деятельности специализированных депозитариев</w:t>
      </w:r>
    </w:p>
    <w:tbl>
      <w:tblPr>
        <w:tblW w:w="1063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28"/>
        <w:gridCol w:w="4251"/>
        <w:gridCol w:w="993"/>
        <w:gridCol w:w="992"/>
      </w:tblGrid>
      <w:tr w:rsidR="00973DD0" w:rsidRPr="005531F9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0" w:rsidRPr="005531F9" w:rsidRDefault="00701DA7" w:rsidP="001143F5">
            <w:pPr>
              <w:jc w:val="center"/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0" w:rsidRPr="005531F9" w:rsidRDefault="00701DA7">
            <w:pPr>
              <w:jc w:val="center"/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Показатель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D0" w:rsidRPr="005531F9" w:rsidRDefault="00701DA7">
            <w:pPr>
              <w:pStyle w:val="2"/>
              <w:ind w:right="-85"/>
              <w:rPr>
                <w:szCs w:val="24"/>
              </w:rPr>
            </w:pPr>
            <w:r w:rsidRPr="005531F9">
              <w:rPr>
                <w:szCs w:val="24"/>
              </w:rPr>
              <w:t>Критерий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D0" w:rsidRPr="005531F9" w:rsidRDefault="00701DA7">
            <w:pPr>
              <w:pStyle w:val="1"/>
              <w:widowControl/>
              <w:spacing w:line="240" w:lineRule="auto"/>
              <w:ind w:left="-108" w:right="-108"/>
              <w:rPr>
                <w:szCs w:val="24"/>
              </w:rPr>
            </w:pPr>
            <w:r w:rsidRPr="005531F9">
              <w:rPr>
                <w:szCs w:val="24"/>
              </w:rPr>
              <w:t>Баллы</w:t>
            </w:r>
          </w:p>
        </w:tc>
      </w:tr>
      <w:tr w:rsidR="00BA2C25" w:rsidRPr="005531F9" w:rsidTr="00BA2C25">
        <w:trPr>
          <w:cantSplit/>
          <w:trHeight w:val="10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5" w:rsidRPr="005531F9" w:rsidRDefault="00BA2C25" w:rsidP="001143F5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C25" w:rsidRPr="005531F9" w:rsidRDefault="00BA2C25" w:rsidP="006E3294">
            <w:pPr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Опыт работы (продолжительность деятельности) организации в качестве специализированного депозитария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A2C25" w:rsidRPr="005531F9" w:rsidRDefault="00BA2C25">
            <w:pPr>
              <w:pStyle w:val="a4"/>
              <w:ind w:right="-85"/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опыт работы (продолжительность деятельности) организации в качестве специализированного депозитария (по дате получения лицензии):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C25" w:rsidRPr="005531F9" w:rsidRDefault="003F1285" w:rsidP="00BA2C25">
            <w:pPr>
              <w:jc w:val="center"/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5</w:t>
            </w:r>
          </w:p>
        </w:tc>
      </w:tr>
      <w:tr w:rsidR="00BA2C25" w:rsidRPr="005531F9" w:rsidTr="00BA2C25">
        <w:trPr>
          <w:cantSplit/>
          <w:trHeight w:val="7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C25" w:rsidRPr="005531F9" w:rsidRDefault="00BA2C25" w:rsidP="001143F5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5" w:rsidRPr="005531F9" w:rsidRDefault="00BA2C25" w:rsidP="006E3294">
            <w:pPr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Объём контролируемого специализированным депозитарием имущества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C25" w:rsidRPr="005531F9" w:rsidRDefault="00BA2C25" w:rsidP="00D853EB">
            <w:pPr>
              <w:pStyle w:val="a4"/>
              <w:ind w:right="-85"/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суммарный объём контролируемого специализированным депозитарием имущества: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C25" w:rsidRPr="005531F9" w:rsidRDefault="00BA2C25" w:rsidP="00BA2C25">
            <w:pPr>
              <w:jc w:val="center"/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6</w:t>
            </w:r>
          </w:p>
          <w:p w:rsidR="00BA2C25" w:rsidRPr="005531F9" w:rsidRDefault="00BA2C25" w:rsidP="00BA2C25">
            <w:pPr>
              <w:jc w:val="center"/>
              <w:rPr>
                <w:sz w:val="24"/>
                <w:szCs w:val="24"/>
              </w:rPr>
            </w:pPr>
          </w:p>
        </w:tc>
      </w:tr>
      <w:tr w:rsidR="00BA2C25" w:rsidRPr="005531F9" w:rsidTr="00BA2C25">
        <w:trPr>
          <w:cantSplit/>
          <w:trHeight w:val="7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C25" w:rsidRPr="005531F9" w:rsidRDefault="00BA2C25" w:rsidP="001143F5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5" w:rsidRPr="005531F9" w:rsidRDefault="00BA2C25" w:rsidP="00D323AA">
            <w:pPr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 xml:space="preserve">Количество обслуживаемых специализированным депозитарием </w:t>
            </w:r>
            <w:r w:rsidR="00D323AA" w:rsidRPr="005531F9">
              <w:rPr>
                <w:sz w:val="24"/>
                <w:szCs w:val="24"/>
              </w:rPr>
              <w:t>портфелей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C25" w:rsidRPr="005531F9" w:rsidRDefault="00BA2C25" w:rsidP="00D323AA">
            <w:pPr>
              <w:pStyle w:val="a4"/>
              <w:ind w:right="-85"/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количество обслуживаемых специализированным депозитарием</w:t>
            </w:r>
            <w:r w:rsidR="00D323AA" w:rsidRPr="005531F9">
              <w:rPr>
                <w:sz w:val="24"/>
                <w:szCs w:val="24"/>
              </w:rPr>
              <w:t xml:space="preserve">  </w:t>
            </w:r>
            <w:r w:rsidR="005F2E6D" w:rsidRPr="005531F9">
              <w:rPr>
                <w:sz w:val="24"/>
                <w:szCs w:val="24"/>
              </w:rPr>
              <w:br/>
              <w:t>портфелей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C25" w:rsidRPr="005531F9" w:rsidRDefault="00BA2C25" w:rsidP="00BA2C25">
            <w:pPr>
              <w:jc w:val="center"/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6</w:t>
            </w:r>
          </w:p>
        </w:tc>
      </w:tr>
      <w:tr w:rsidR="00884BCD" w:rsidRPr="005531F9" w:rsidTr="00BA2C25">
        <w:trPr>
          <w:cantSplit/>
          <w:trHeight w:val="109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BCD" w:rsidRPr="005531F9" w:rsidRDefault="00884BCD" w:rsidP="001143F5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BCD" w:rsidRPr="005531F9" w:rsidRDefault="00884BCD">
            <w:pPr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Диверсификация деятельности специализированного депозитария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4BCD" w:rsidRPr="005531F9" w:rsidRDefault="00884BCD" w:rsidP="00077A06">
            <w:pPr>
              <w:pStyle w:val="a4"/>
              <w:ind w:right="-85"/>
              <w:rPr>
                <w:sz w:val="24"/>
                <w:szCs w:val="24"/>
              </w:rPr>
            </w:pPr>
            <w:proofErr w:type="gramStart"/>
            <w:r w:rsidRPr="005531F9">
              <w:rPr>
                <w:sz w:val="24"/>
                <w:szCs w:val="24"/>
              </w:rPr>
              <w:t>по видам объектов контроля со стороны специализированного депозитария (АИФ, ПИФ, НПФ – пенсионные резервы, НПФ – пенсионные накопления, ПФР, ВИ</w:t>
            </w:r>
            <w:r w:rsidR="00221A81" w:rsidRPr="005531F9">
              <w:rPr>
                <w:rStyle w:val="ac"/>
                <w:sz w:val="24"/>
                <w:szCs w:val="24"/>
              </w:rPr>
              <w:footnoteReference w:id="1"/>
            </w:r>
            <w:r w:rsidRPr="005531F9">
              <w:rPr>
                <w:sz w:val="24"/>
                <w:szCs w:val="24"/>
              </w:rPr>
              <w:t>, И</w:t>
            </w:r>
            <w:r w:rsidR="006E6453" w:rsidRPr="005531F9">
              <w:rPr>
                <w:sz w:val="24"/>
                <w:szCs w:val="24"/>
              </w:rPr>
              <w:t>П</w:t>
            </w:r>
            <w:r w:rsidR="00221A81" w:rsidRPr="005531F9">
              <w:rPr>
                <w:rStyle w:val="ac"/>
                <w:sz w:val="24"/>
                <w:szCs w:val="24"/>
              </w:rPr>
              <w:footnoteReference w:id="2"/>
            </w:r>
            <w:r w:rsidR="00BF38F7" w:rsidRPr="005531F9">
              <w:rPr>
                <w:sz w:val="24"/>
                <w:szCs w:val="24"/>
              </w:rPr>
              <w:t>,</w:t>
            </w:r>
            <w:r w:rsidR="00BF38F7" w:rsidRPr="005531F9">
              <w:rPr>
                <w:sz w:val="24"/>
                <w:szCs w:val="24"/>
                <w:vertAlign w:val="superscript"/>
              </w:rPr>
              <w:t xml:space="preserve"> </w:t>
            </w:r>
            <w:r w:rsidR="00BF38F7" w:rsidRPr="005531F9">
              <w:rPr>
                <w:sz w:val="24"/>
                <w:szCs w:val="24"/>
              </w:rPr>
              <w:t>СК, СРО</w:t>
            </w:r>
            <w:r w:rsidR="00D323AA" w:rsidRPr="005531F9">
              <w:rPr>
                <w:sz w:val="24"/>
                <w:szCs w:val="24"/>
              </w:rPr>
              <w:t>, ГК</w:t>
            </w:r>
            <w:r w:rsidR="00077A06">
              <w:rPr>
                <w:sz w:val="24"/>
                <w:szCs w:val="24"/>
              </w:rPr>
              <w:t>/ГФ</w:t>
            </w:r>
            <w:r w:rsidR="00D323AA" w:rsidRPr="005531F9">
              <w:rPr>
                <w:rStyle w:val="ac"/>
                <w:sz w:val="24"/>
                <w:szCs w:val="24"/>
              </w:rPr>
              <w:footnoteReference w:id="3"/>
            </w:r>
            <w:r w:rsidRPr="005531F9">
              <w:rPr>
                <w:sz w:val="24"/>
                <w:szCs w:val="24"/>
              </w:rPr>
              <w:t>: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BCD" w:rsidRPr="005531F9" w:rsidRDefault="00884BCD" w:rsidP="00BA2C25">
            <w:pPr>
              <w:jc w:val="center"/>
              <w:rPr>
                <w:sz w:val="24"/>
                <w:szCs w:val="24"/>
              </w:rPr>
            </w:pPr>
          </w:p>
        </w:tc>
      </w:tr>
      <w:tr w:rsidR="00884BCD" w:rsidRPr="005531F9" w:rsidTr="00D30D4D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BCD" w:rsidRPr="005531F9" w:rsidRDefault="00884BCD" w:rsidP="001143F5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BCD" w:rsidRPr="005531F9" w:rsidRDefault="00884BCD">
            <w:pPr>
              <w:rPr>
                <w:sz w:val="24"/>
                <w:szCs w:val="24"/>
              </w:rPr>
            </w:pPr>
          </w:p>
        </w:tc>
        <w:tc>
          <w:tcPr>
            <w:tcW w:w="6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BCD" w:rsidRPr="005531F9" w:rsidRDefault="00884BCD">
            <w:pPr>
              <w:jc w:val="center"/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Один объект контроля – 1 балл</w:t>
            </w:r>
          </w:p>
        </w:tc>
      </w:tr>
      <w:tr w:rsidR="00BA2C25" w:rsidRPr="005531F9" w:rsidTr="00BA2C25">
        <w:trPr>
          <w:cantSplit/>
          <w:trHeight w:val="10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C25" w:rsidRPr="005531F9" w:rsidRDefault="00BA2C25" w:rsidP="001143F5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C25" w:rsidRPr="005531F9" w:rsidRDefault="00BA2C25" w:rsidP="006E3294">
            <w:pPr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Количество управляющих компаний, с которыми заключены договоры об оказании услуг специализированного депозитария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A2C25" w:rsidRPr="005531F9" w:rsidRDefault="00BA2C25">
            <w:pPr>
              <w:pStyle w:val="a4"/>
              <w:ind w:right="-85"/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количество управляющих компаний, с которыми заключены договоры об оказании услуг специализированного депозитария: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C25" w:rsidRPr="005531F9" w:rsidRDefault="00BA2C25" w:rsidP="00BA2C25">
            <w:pPr>
              <w:jc w:val="center"/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6</w:t>
            </w:r>
          </w:p>
        </w:tc>
      </w:tr>
      <w:tr w:rsidR="00BA2C25" w:rsidRPr="005531F9" w:rsidTr="002C0723">
        <w:trPr>
          <w:cantSplit/>
          <w:trHeight w:val="19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5" w:rsidRPr="005531F9" w:rsidRDefault="00BA2C25" w:rsidP="001143F5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25" w:rsidRPr="005531F9" w:rsidRDefault="00BA2C25" w:rsidP="00D1796D">
            <w:pPr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Суммарный размер собственных сре</w:t>
            </w:r>
            <w:proofErr w:type="gramStart"/>
            <w:r w:rsidRPr="005531F9">
              <w:rPr>
                <w:sz w:val="24"/>
                <w:szCs w:val="24"/>
              </w:rPr>
              <w:t>дств сп</w:t>
            </w:r>
            <w:proofErr w:type="gramEnd"/>
            <w:r w:rsidRPr="005531F9">
              <w:rPr>
                <w:sz w:val="24"/>
                <w:szCs w:val="24"/>
              </w:rPr>
              <w:t xml:space="preserve">ециализированного депозитария и страхового покрытия по договорам страхования </w:t>
            </w:r>
            <w:r w:rsidR="00D1796D" w:rsidRPr="005531F9">
              <w:rPr>
                <w:sz w:val="24"/>
                <w:szCs w:val="24"/>
              </w:rPr>
              <w:t xml:space="preserve"> профессиональной деятельности</w:t>
            </w:r>
            <w:r w:rsidRPr="005531F9">
              <w:rPr>
                <w:sz w:val="24"/>
                <w:szCs w:val="24"/>
              </w:rPr>
              <w:t xml:space="preserve"> специализированного депозитария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C25" w:rsidRPr="005531F9" w:rsidRDefault="00BA2C25" w:rsidP="009F4E16">
            <w:pPr>
              <w:pStyle w:val="a4"/>
              <w:ind w:right="-85"/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 xml:space="preserve">суммарный размер собственных средств организации, осуществляющей деятельность специализированного депозитария, и страхового покрытия по заключенным организацией договорам страхования </w:t>
            </w:r>
            <w:r w:rsidR="00D1796D" w:rsidRPr="005531F9">
              <w:rPr>
                <w:sz w:val="24"/>
                <w:szCs w:val="24"/>
              </w:rPr>
              <w:t xml:space="preserve"> профессиональной  деятельности </w:t>
            </w:r>
            <w:r w:rsidRPr="005531F9">
              <w:rPr>
                <w:sz w:val="24"/>
                <w:szCs w:val="24"/>
              </w:rPr>
              <w:t xml:space="preserve"> </w:t>
            </w:r>
            <w:r w:rsidR="005F2E6D" w:rsidRPr="005531F9">
              <w:rPr>
                <w:sz w:val="24"/>
                <w:szCs w:val="24"/>
              </w:rPr>
              <w:t>специализированного депозитария</w:t>
            </w:r>
            <w:r w:rsidR="005F2E6D" w:rsidRPr="005531F9">
              <w:rPr>
                <w:rStyle w:val="ac"/>
                <w:sz w:val="24"/>
                <w:szCs w:val="24"/>
              </w:rPr>
              <w:footnoteReference w:id="4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25" w:rsidRPr="005531F9" w:rsidRDefault="00BA2C25" w:rsidP="00BA2C25">
            <w:pPr>
              <w:jc w:val="center"/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6</w:t>
            </w:r>
          </w:p>
        </w:tc>
      </w:tr>
      <w:tr w:rsidR="00091101" w:rsidRPr="005531F9" w:rsidTr="002C0723">
        <w:trPr>
          <w:cantSplit/>
          <w:trHeight w:val="19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01" w:rsidRPr="005531F9" w:rsidRDefault="00091101" w:rsidP="001143F5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01" w:rsidRPr="005531F9" w:rsidRDefault="00091101" w:rsidP="009F4E16">
            <w:pPr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Коэффициент покрытия К</w:t>
            </w:r>
            <w:proofErr w:type="gramStart"/>
            <w:r w:rsidRPr="005531F9">
              <w:rPr>
                <w:sz w:val="24"/>
                <w:szCs w:val="24"/>
              </w:rPr>
              <w:t>П(</w:t>
            </w:r>
            <w:proofErr w:type="gramEnd"/>
            <w:r w:rsidR="00F500B8" w:rsidRPr="005531F9">
              <w:rPr>
                <w:sz w:val="24"/>
                <w:szCs w:val="24"/>
              </w:rPr>
              <w:t>спецдеп</w:t>
            </w:r>
            <w:r w:rsidRPr="005531F9">
              <w:rPr>
                <w:sz w:val="24"/>
                <w:szCs w:val="24"/>
              </w:rPr>
              <w:t xml:space="preserve">) </w:t>
            </w:r>
            <w:r w:rsidR="00924A15" w:rsidRPr="005531F9">
              <w:rPr>
                <w:sz w:val="24"/>
                <w:szCs w:val="24"/>
              </w:rPr>
              <w:t>контролируемого спецдепозитарием имущества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101" w:rsidRPr="005531F9" w:rsidRDefault="00091101" w:rsidP="009F4E16">
            <w:pPr>
              <w:pStyle w:val="a4"/>
              <w:ind w:right="-85"/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 xml:space="preserve">покрытие собственным капиталом и страховым </w:t>
            </w:r>
            <w:r w:rsidR="00924A15" w:rsidRPr="005531F9">
              <w:rPr>
                <w:sz w:val="24"/>
                <w:szCs w:val="24"/>
              </w:rPr>
              <w:t xml:space="preserve">покрытием </w:t>
            </w:r>
            <w:r w:rsidR="009F4E16" w:rsidRPr="005531F9">
              <w:rPr>
                <w:sz w:val="24"/>
                <w:szCs w:val="24"/>
              </w:rPr>
              <w:t xml:space="preserve">суммарного объема </w:t>
            </w:r>
            <w:r w:rsidR="00924A15" w:rsidRPr="005531F9">
              <w:rPr>
                <w:sz w:val="24"/>
                <w:szCs w:val="24"/>
              </w:rPr>
              <w:t>контролируемого спецдепозитарием имущества</w:t>
            </w:r>
            <w:r w:rsidR="009F4E16" w:rsidRPr="005531F9">
              <w:rPr>
                <w:rStyle w:val="ac"/>
                <w:sz w:val="24"/>
                <w:szCs w:val="24"/>
              </w:rPr>
              <w:t>4,</w:t>
            </w:r>
            <w:r w:rsidR="009F4E16" w:rsidRPr="005531F9">
              <w:rPr>
                <w:rStyle w:val="ac"/>
                <w:sz w:val="24"/>
                <w:szCs w:val="24"/>
              </w:rPr>
              <w:footnoteReference w:id="5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1" w:rsidRPr="005531F9" w:rsidRDefault="00091101" w:rsidP="002C6109">
            <w:pPr>
              <w:jc w:val="center"/>
              <w:rPr>
                <w:sz w:val="24"/>
                <w:szCs w:val="24"/>
                <w:lang w:val="en-US"/>
              </w:rPr>
            </w:pPr>
            <w:r w:rsidRPr="005531F9">
              <w:rPr>
                <w:sz w:val="24"/>
                <w:szCs w:val="24"/>
                <w:lang w:val="en-US"/>
              </w:rPr>
              <w:t>3</w:t>
            </w:r>
          </w:p>
        </w:tc>
      </w:tr>
      <w:tr w:rsidR="00091101" w:rsidRPr="005531F9" w:rsidTr="002C0723">
        <w:trPr>
          <w:cantSplit/>
          <w:trHeight w:val="19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01" w:rsidRPr="005531F9" w:rsidRDefault="00091101" w:rsidP="001143F5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01" w:rsidRPr="005531F9" w:rsidRDefault="00091101" w:rsidP="002C6109">
            <w:pPr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Коэффициент общей  рентабельности деятельности специализированного депозитария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101" w:rsidRPr="005531F9" w:rsidRDefault="00091101" w:rsidP="002C6109">
            <w:pPr>
              <w:pStyle w:val="a4"/>
              <w:ind w:right="-85"/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отношение прибыли до налогообложения к выручке от продажи услуг специализированным депозитарием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1" w:rsidRPr="005531F9" w:rsidRDefault="00091101" w:rsidP="002C6109">
            <w:pPr>
              <w:jc w:val="center"/>
              <w:rPr>
                <w:sz w:val="24"/>
                <w:szCs w:val="24"/>
                <w:lang w:val="en-US"/>
              </w:rPr>
            </w:pPr>
            <w:r w:rsidRPr="005531F9">
              <w:rPr>
                <w:sz w:val="24"/>
                <w:szCs w:val="24"/>
                <w:lang w:val="en-US"/>
              </w:rPr>
              <w:t>3</w:t>
            </w:r>
          </w:p>
        </w:tc>
      </w:tr>
      <w:tr w:rsidR="00091101" w:rsidRPr="005531F9" w:rsidTr="002C0723">
        <w:trPr>
          <w:cantSplit/>
          <w:trHeight w:val="2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101" w:rsidRPr="005531F9" w:rsidRDefault="00091101" w:rsidP="001143F5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101" w:rsidRPr="005531F9" w:rsidRDefault="00091101" w:rsidP="002C0723">
            <w:pPr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Персонал специализированного депозитария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1101" w:rsidRPr="005531F9" w:rsidRDefault="00091101" w:rsidP="006316EC">
            <w:pPr>
              <w:pStyle w:val="a4"/>
              <w:ind w:right="-85"/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количество сотрудников подразделения управления рисками/сотрудников, осуществляющих функции по организации системы управления рисками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91101" w:rsidRPr="005531F9" w:rsidRDefault="00091101" w:rsidP="00221A81">
            <w:pPr>
              <w:pStyle w:val="a4"/>
              <w:ind w:right="-85"/>
              <w:jc w:val="center"/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2</w:t>
            </w:r>
            <w:r w:rsidRPr="005531F9">
              <w:rPr>
                <w:rStyle w:val="ac"/>
                <w:sz w:val="24"/>
                <w:szCs w:val="24"/>
              </w:rPr>
              <w:footnoteReference w:id="6"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1101" w:rsidRPr="005531F9" w:rsidRDefault="00091101" w:rsidP="00221A81">
            <w:pPr>
              <w:jc w:val="center"/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5</w:t>
            </w:r>
            <w:r w:rsidRPr="005531F9">
              <w:rPr>
                <w:rStyle w:val="ac"/>
                <w:sz w:val="24"/>
                <w:szCs w:val="24"/>
              </w:rPr>
              <w:footnoteReference w:id="7"/>
            </w:r>
          </w:p>
        </w:tc>
      </w:tr>
      <w:tr w:rsidR="00091101" w:rsidRPr="005531F9" w:rsidTr="002C0723">
        <w:trPr>
          <w:cantSplit/>
          <w:trHeight w:val="85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101" w:rsidRPr="005531F9" w:rsidRDefault="00091101" w:rsidP="001143F5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101" w:rsidRPr="005531F9" w:rsidRDefault="00091101" w:rsidP="006E3294">
            <w:pPr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right w:val="single" w:sz="4" w:space="0" w:color="auto"/>
            </w:tcBorders>
          </w:tcPr>
          <w:p w:rsidR="00091101" w:rsidRPr="005531F9" w:rsidRDefault="00091101" w:rsidP="003F1285">
            <w:pPr>
              <w:pStyle w:val="a4"/>
              <w:ind w:right="-85"/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 xml:space="preserve">количество сотрудников подразделения внутреннего контроля/сотрудников, осуществляющих внутренний контроль 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91101" w:rsidRPr="005531F9" w:rsidRDefault="00091101" w:rsidP="003F1285">
            <w:pPr>
              <w:pStyle w:val="a4"/>
              <w:ind w:right="-85"/>
              <w:jc w:val="center"/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101" w:rsidRPr="005531F9" w:rsidRDefault="00091101" w:rsidP="00BA2C25">
            <w:pPr>
              <w:jc w:val="center"/>
              <w:rPr>
                <w:sz w:val="24"/>
                <w:szCs w:val="24"/>
              </w:rPr>
            </w:pPr>
          </w:p>
        </w:tc>
      </w:tr>
      <w:tr w:rsidR="00091101" w:rsidRPr="005531F9" w:rsidTr="003F1285">
        <w:trPr>
          <w:cantSplit/>
          <w:trHeight w:val="220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1101" w:rsidRPr="005531F9" w:rsidRDefault="00091101" w:rsidP="001143F5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1101" w:rsidRPr="005531F9" w:rsidRDefault="00091101" w:rsidP="006E3294">
            <w:pPr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91101" w:rsidRPr="005531F9" w:rsidRDefault="00091101" w:rsidP="00785E9E">
            <w:pPr>
              <w:pStyle w:val="a4"/>
              <w:ind w:right="-85"/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доля штатных сотрудников подразделения, осуществляющего деятельность специализированного депозитария, имеющих квалификационный аттестат серии 6.0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101" w:rsidRPr="005531F9" w:rsidRDefault="00091101" w:rsidP="003F1285">
            <w:pPr>
              <w:pStyle w:val="a4"/>
              <w:ind w:right="-85"/>
              <w:jc w:val="center"/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101" w:rsidRPr="005531F9" w:rsidRDefault="00091101" w:rsidP="00BA2C25">
            <w:pPr>
              <w:jc w:val="center"/>
              <w:rPr>
                <w:sz w:val="24"/>
                <w:szCs w:val="24"/>
              </w:rPr>
            </w:pPr>
          </w:p>
        </w:tc>
      </w:tr>
      <w:tr w:rsidR="00091101" w:rsidRPr="005531F9" w:rsidTr="00BA2C25">
        <w:trPr>
          <w:cantSplit/>
          <w:trHeight w:val="2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101" w:rsidRPr="005531F9" w:rsidRDefault="00091101" w:rsidP="001143F5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101" w:rsidRPr="005531F9" w:rsidRDefault="00091101" w:rsidP="006E3294">
            <w:pPr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Совмещение деятельности специализированного депозитария с иными видами деятельности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101" w:rsidRPr="005531F9" w:rsidRDefault="00091101" w:rsidP="00091101">
            <w:pPr>
              <w:pStyle w:val="a4"/>
              <w:ind w:left="33" w:right="-85" w:hanging="33"/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организация не совмещает деятельность специализированного депозитария с иными видами деятельности на рынке ценных бумаг (кроме депозитарной и</w:t>
            </w:r>
            <w:r w:rsidR="005429E0" w:rsidRPr="005531F9">
              <w:rPr>
                <w:sz w:val="24"/>
                <w:szCs w:val="24"/>
              </w:rPr>
              <w:t xml:space="preserve"> регистраторской деятельности)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1" w:rsidRPr="005531F9" w:rsidRDefault="00091101" w:rsidP="00091101">
            <w:pPr>
              <w:jc w:val="center"/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3</w:t>
            </w:r>
          </w:p>
        </w:tc>
      </w:tr>
      <w:tr w:rsidR="00091101" w:rsidRPr="005531F9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101" w:rsidRPr="005531F9" w:rsidRDefault="00091101" w:rsidP="001143F5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101" w:rsidRPr="005531F9" w:rsidRDefault="00091101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101" w:rsidRPr="005531F9" w:rsidRDefault="00091101" w:rsidP="00091101">
            <w:pPr>
              <w:ind w:left="33" w:right="-85" w:hanging="33"/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организация совмещает деятельность специализированного депозитария с иными видами деятельности на рынке ценных бумаг (кроме депозитарной и регистраторской деятельности) или только с банковской деятельностью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1" w:rsidRPr="005531F9" w:rsidRDefault="00091101">
            <w:pPr>
              <w:jc w:val="center"/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2</w:t>
            </w:r>
          </w:p>
        </w:tc>
      </w:tr>
      <w:tr w:rsidR="00091101" w:rsidRPr="005531F9" w:rsidTr="009F4E16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01" w:rsidRPr="005531F9" w:rsidRDefault="00091101" w:rsidP="001143F5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01" w:rsidRPr="005531F9" w:rsidRDefault="00091101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101" w:rsidRPr="005531F9" w:rsidRDefault="00091101" w:rsidP="00091101">
            <w:pPr>
              <w:ind w:left="33" w:right="-85" w:hanging="33"/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организация совмещает деятельность специализированного депозитария с иными видами деятельности на рынке ценных бумаг (помимо депозитарной и регистраторской деятельности)  и  с банковской деятельностью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1" w:rsidRPr="005531F9" w:rsidRDefault="00091101">
            <w:pPr>
              <w:jc w:val="center"/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1</w:t>
            </w:r>
          </w:p>
        </w:tc>
      </w:tr>
      <w:tr w:rsidR="009F4E16" w:rsidRPr="005531F9" w:rsidTr="009F4E16">
        <w:trPr>
          <w:cantSplit/>
          <w:trHeight w:val="19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16" w:rsidRPr="005531F9" w:rsidRDefault="009F4E16" w:rsidP="001143F5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16" w:rsidRPr="005531F9" w:rsidRDefault="009F4E16">
            <w:pPr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Страхование профессиональной деятельности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E16" w:rsidRPr="005531F9" w:rsidRDefault="005429E0">
            <w:pPr>
              <w:pStyle w:val="a4"/>
              <w:ind w:left="33" w:right="-85"/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н</w:t>
            </w:r>
            <w:r w:rsidR="009F4E16" w:rsidRPr="005531F9">
              <w:rPr>
                <w:sz w:val="24"/>
                <w:szCs w:val="24"/>
              </w:rPr>
              <w:t xml:space="preserve">аличие документального </w:t>
            </w:r>
            <w:proofErr w:type="gramStart"/>
            <w:r w:rsidR="009F4E16" w:rsidRPr="005531F9">
              <w:rPr>
                <w:sz w:val="24"/>
                <w:szCs w:val="24"/>
              </w:rPr>
              <w:t>подтверждения   соответствия договора страхования профессиональной деятельности специализированного</w:t>
            </w:r>
            <w:proofErr w:type="gramEnd"/>
            <w:r w:rsidR="009F4E16" w:rsidRPr="005531F9">
              <w:rPr>
                <w:sz w:val="24"/>
                <w:szCs w:val="24"/>
              </w:rPr>
              <w:t xml:space="preserve"> </w:t>
            </w:r>
          </w:p>
          <w:p w:rsidR="009F4E16" w:rsidRPr="005531F9" w:rsidRDefault="009F4E16" w:rsidP="00D1796D">
            <w:pPr>
              <w:pStyle w:val="a4"/>
              <w:ind w:left="33" w:right="-85"/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 xml:space="preserve"> депозитария требованиям  ПАРТАД или  иной, признаваемой СРО НФА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16" w:rsidRPr="005531F9" w:rsidRDefault="009F4E16" w:rsidP="00984DA8">
            <w:pPr>
              <w:jc w:val="center"/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2</w:t>
            </w:r>
          </w:p>
        </w:tc>
      </w:tr>
      <w:tr w:rsidR="00091101" w:rsidRPr="005531F9" w:rsidTr="009F4E16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101" w:rsidRPr="005531F9" w:rsidRDefault="00091101" w:rsidP="001143F5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101" w:rsidRPr="005531F9" w:rsidRDefault="00091101" w:rsidP="00221A81">
            <w:pPr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Внедрение системы мер управления рисками деятельности специализированного депозитария</w:t>
            </w:r>
            <w:r w:rsidRPr="005531F9">
              <w:rPr>
                <w:rStyle w:val="ac"/>
                <w:sz w:val="24"/>
                <w:szCs w:val="24"/>
              </w:rPr>
              <w:footnoteReference w:id="8"/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101" w:rsidRPr="005531F9" w:rsidRDefault="00091101" w:rsidP="00EB2FD0">
            <w:pPr>
              <w:pStyle w:val="a4"/>
              <w:ind w:left="33" w:right="-85"/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 xml:space="preserve">наличие документального подтверждения </w:t>
            </w:r>
            <w:r w:rsidR="009D4A97" w:rsidRPr="005531F9">
              <w:rPr>
                <w:sz w:val="24"/>
                <w:szCs w:val="24"/>
              </w:rPr>
              <w:t xml:space="preserve">(действующего в рейтинговый период) </w:t>
            </w:r>
            <w:r w:rsidRPr="005531F9">
              <w:rPr>
                <w:sz w:val="24"/>
                <w:szCs w:val="24"/>
              </w:rPr>
              <w:t>соответствия</w:t>
            </w:r>
            <w:r w:rsidR="00F500B8" w:rsidRPr="005531F9">
              <w:rPr>
                <w:sz w:val="24"/>
                <w:szCs w:val="24"/>
              </w:rPr>
              <w:t xml:space="preserve"> профе</w:t>
            </w:r>
            <w:r w:rsidR="00924A15" w:rsidRPr="005531F9">
              <w:rPr>
                <w:sz w:val="24"/>
                <w:szCs w:val="24"/>
              </w:rPr>
              <w:t>ссиональной</w:t>
            </w:r>
            <w:r w:rsidRPr="005531F9">
              <w:rPr>
                <w:sz w:val="24"/>
                <w:szCs w:val="24"/>
              </w:rPr>
              <w:t xml:space="preserve"> </w:t>
            </w:r>
            <w:r w:rsidR="00924A15" w:rsidRPr="005531F9">
              <w:rPr>
                <w:sz w:val="24"/>
                <w:szCs w:val="24"/>
              </w:rPr>
              <w:t xml:space="preserve">деятельности </w:t>
            </w:r>
            <w:r w:rsidRPr="005531F9">
              <w:rPr>
                <w:sz w:val="24"/>
                <w:szCs w:val="24"/>
              </w:rPr>
              <w:t>специализированного депозитария</w:t>
            </w:r>
            <w:r w:rsidRPr="005531F9">
              <w:rPr>
                <w:color w:val="000000"/>
                <w:sz w:val="24"/>
                <w:szCs w:val="24"/>
              </w:rPr>
              <w:t xml:space="preserve"> </w:t>
            </w:r>
            <w:r w:rsidRPr="005531F9">
              <w:rPr>
                <w:sz w:val="24"/>
                <w:szCs w:val="24"/>
              </w:rPr>
              <w:t>стандарт</w:t>
            </w:r>
            <w:r w:rsidR="00924A15" w:rsidRPr="005531F9">
              <w:rPr>
                <w:sz w:val="24"/>
                <w:szCs w:val="24"/>
              </w:rPr>
              <w:t>у</w:t>
            </w:r>
            <w:r w:rsidRPr="005531F9">
              <w:rPr>
                <w:sz w:val="24"/>
                <w:szCs w:val="24"/>
              </w:rPr>
              <w:t xml:space="preserve"> </w:t>
            </w:r>
            <w:r w:rsidR="00924A15" w:rsidRPr="005531F9">
              <w:rPr>
                <w:sz w:val="24"/>
                <w:szCs w:val="24"/>
              </w:rPr>
              <w:t>СРО, членом которого является специализированный депозитарий</w:t>
            </w:r>
            <w:r w:rsidRPr="005531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1" w:rsidRPr="005531F9" w:rsidRDefault="00091101">
            <w:pPr>
              <w:jc w:val="center"/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3</w:t>
            </w:r>
          </w:p>
        </w:tc>
      </w:tr>
      <w:tr w:rsidR="00091101" w:rsidRPr="005531F9" w:rsidTr="00EA7646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101" w:rsidRPr="005531F9" w:rsidRDefault="00091101" w:rsidP="001143F5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101" w:rsidRPr="005531F9" w:rsidRDefault="00091101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101" w:rsidRPr="005531F9" w:rsidRDefault="00091101" w:rsidP="000F2DA4">
            <w:pPr>
              <w:pStyle w:val="a4"/>
              <w:ind w:left="33" w:right="-85"/>
              <w:rPr>
                <w:color w:val="000000"/>
                <w:sz w:val="24"/>
                <w:szCs w:val="24"/>
              </w:rPr>
            </w:pPr>
            <w:r w:rsidRPr="005531F9">
              <w:rPr>
                <w:color w:val="000000"/>
                <w:sz w:val="24"/>
                <w:szCs w:val="24"/>
              </w:rPr>
              <w:t xml:space="preserve">наличие </w:t>
            </w:r>
            <w:r w:rsidRPr="005531F9">
              <w:rPr>
                <w:sz w:val="24"/>
                <w:szCs w:val="24"/>
              </w:rPr>
              <w:t xml:space="preserve">документального подтверждения </w:t>
            </w:r>
            <w:r w:rsidR="009D4A97" w:rsidRPr="005531F9">
              <w:rPr>
                <w:sz w:val="24"/>
                <w:szCs w:val="24"/>
              </w:rPr>
              <w:t>(</w:t>
            </w:r>
            <w:r w:rsidR="009D4A97" w:rsidRPr="005531F9">
              <w:rPr>
                <w:color w:val="000000"/>
                <w:sz w:val="24"/>
                <w:szCs w:val="24"/>
              </w:rPr>
              <w:t>действующего в рейтинговый период)</w:t>
            </w:r>
            <w:r w:rsidR="009D4A97" w:rsidRPr="005531F9">
              <w:rPr>
                <w:sz w:val="24"/>
                <w:szCs w:val="24"/>
              </w:rPr>
              <w:t xml:space="preserve"> </w:t>
            </w:r>
            <w:r w:rsidRPr="005531F9">
              <w:rPr>
                <w:sz w:val="24"/>
                <w:szCs w:val="24"/>
              </w:rPr>
              <w:t>соответствия</w:t>
            </w:r>
            <w:r w:rsidRPr="005531F9">
              <w:rPr>
                <w:color w:val="000000"/>
                <w:sz w:val="24"/>
                <w:szCs w:val="24"/>
              </w:rPr>
              <w:t xml:space="preserve"> системы внутреннего контроля специализированного депозитария стандарту </w:t>
            </w:r>
            <w:r w:rsidR="009D4A97" w:rsidRPr="005531F9">
              <w:rPr>
                <w:color w:val="000000"/>
                <w:sz w:val="24"/>
                <w:szCs w:val="24"/>
              </w:rPr>
              <w:t xml:space="preserve">ПАРТАД или </w:t>
            </w:r>
            <w:r w:rsidRPr="005531F9">
              <w:rPr>
                <w:color w:val="000000"/>
                <w:sz w:val="24"/>
                <w:szCs w:val="24"/>
              </w:rPr>
              <w:t xml:space="preserve">СРО, членом которой является специализированный депозитарий, </w:t>
            </w:r>
            <w:r w:rsidR="008E42F1" w:rsidRPr="005531F9">
              <w:rPr>
                <w:color w:val="000000"/>
                <w:sz w:val="24"/>
                <w:szCs w:val="24"/>
              </w:rPr>
              <w:t xml:space="preserve">или   </w:t>
            </w:r>
            <w:r w:rsidR="000F2DA4" w:rsidRPr="005531F9">
              <w:rPr>
                <w:color w:val="000000"/>
                <w:sz w:val="24"/>
                <w:szCs w:val="24"/>
              </w:rPr>
              <w:t xml:space="preserve">признанным </w:t>
            </w:r>
            <w:r w:rsidR="008E42F1" w:rsidRPr="005531F9">
              <w:rPr>
                <w:color w:val="000000"/>
                <w:sz w:val="24"/>
                <w:szCs w:val="24"/>
              </w:rPr>
              <w:t>международным стандартам</w:t>
            </w:r>
            <w:r w:rsidR="000F2DA4" w:rsidRPr="005531F9">
              <w:rPr>
                <w:rStyle w:val="ac"/>
                <w:color w:val="000000"/>
                <w:sz w:val="24"/>
                <w:szCs w:val="24"/>
              </w:rPr>
              <w:footnoteReference w:id="9"/>
            </w:r>
            <w:r w:rsidR="008E42F1" w:rsidRPr="005531F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1" w:rsidRPr="005531F9" w:rsidRDefault="00091101" w:rsidP="005845DC">
            <w:pPr>
              <w:jc w:val="center"/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3</w:t>
            </w:r>
          </w:p>
        </w:tc>
      </w:tr>
      <w:tr w:rsidR="00091101" w:rsidRPr="005531F9" w:rsidTr="000F2DA4">
        <w:trPr>
          <w:cantSplit/>
          <w:trHeight w:val="19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101" w:rsidRPr="005531F9" w:rsidRDefault="00091101" w:rsidP="001143F5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101" w:rsidRPr="005531F9" w:rsidRDefault="00091101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91101" w:rsidRPr="005531F9" w:rsidRDefault="00091101" w:rsidP="000F2DA4">
            <w:pPr>
              <w:pStyle w:val="a4"/>
              <w:ind w:left="33" w:right="-85"/>
              <w:rPr>
                <w:color w:val="000000"/>
                <w:sz w:val="24"/>
                <w:szCs w:val="24"/>
              </w:rPr>
            </w:pPr>
            <w:r w:rsidRPr="005531F9">
              <w:rPr>
                <w:color w:val="000000"/>
                <w:sz w:val="24"/>
                <w:szCs w:val="24"/>
              </w:rPr>
              <w:t xml:space="preserve">наличие </w:t>
            </w:r>
            <w:r w:rsidRPr="005531F9">
              <w:rPr>
                <w:sz w:val="24"/>
                <w:szCs w:val="24"/>
              </w:rPr>
              <w:t xml:space="preserve">документального подтверждения </w:t>
            </w:r>
            <w:r w:rsidR="009D4A97" w:rsidRPr="005531F9">
              <w:rPr>
                <w:sz w:val="24"/>
                <w:szCs w:val="24"/>
              </w:rPr>
              <w:t>(</w:t>
            </w:r>
            <w:r w:rsidR="009D4A97" w:rsidRPr="005531F9">
              <w:rPr>
                <w:color w:val="000000"/>
                <w:sz w:val="24"/>
                <w:szCs w:val="24"/>
              </w:rPr>
              <w:t xml:space="preserve">действующего в рейтинговый период) </w:t>
            </w:r>
            <w:r w:rsidRPr="005531F9">
              <w:rPr>
                <w:sz w:val="24"/>
                <w:szCs w:val="24"/>
              </w:rPr>
              <w:t>соответствия</w:t>
            </w:r>
            <w:r w:rsidRPr="005531F9">
              <w:rPr>
                <w:color w:val="000000"/>
                <w:sz w:val="24"/>
                <w:szCs w:val="24"/>
              </w:rPr>
              <w:t xml:space="preserve"> системы управления рисками  специализированного депозитария стандарту </w:t>
            </w:r>
            <w:r w:rsidR="009D4A97" w:rsidRPr="005531F9">
              <w:rPr>
                <w:color w:val="000000"/>
                <w:sz w:val="24"/>
                <w:szCs w:val="24"/>
              </w:rPr>
              <w:t xml:space="preserve">ПАРТАД или </w:t>
            </w:r>
            <w:r w:rsidRPr="005531F9">
              <w:rPr>
                <w:color w:val="000000"/>
                <w:sz w:val="24"/>
                <w:szCs w:val="24"/>
              </w:rPr>
              <w:t>СРО, членом которой является специализированный депозитарий</w:t>
            </w:r>
            <w:r w:rsidR="000F2DA4" w:rsidRPr="005531F9">
              <w:rPr>
                <w:color w:val="000000"/>
                <w:sz w:val="24"/>
                <w:szCs w:val="24"/>
              </w:rPr>
              <w:t>,</w:t>
            </w:r>
            <w:r w:rsidRPr="005531F9">
              <w:rPr>
                <w:color w:val="000000"/>
                <w:sz w:val="24"/>
                <w:szCs w:val="24"/>
              </w:rPr>
              <w:t xml:space="preserve"> или </w:t>
            </w:r>
            <w:r w:rsidR="000F2DA4" w:rsidRPr="005531F9">
              <w:rPr>
                <w:color w:val="000000"/>
                <w:sz w:val="24"/>
                <w:szCs w:val="24"/>
              </w:rPr>
              <w:t>признанным</w:t>
            </w:r>
            <w:r w:rsidRPr="005531F9">
              <w:rPr>
                <w:color w:val="000000"/>
                <w:sz w:val="24"/>
                <w:szCs w:val="24"/>
              </w:rPr>
              <w:t xml:space="preserve"> международным стандартам</w:t>
            </w:r>
            <w:r w:rsidR="000F2DA4" w:rsidRPr="005531F9">
              <w:rPr>
                <w:rStyle w:val="ac"/>
                <w:color w:val="000000"/>
                <w:sz w:val="24"/>
                <w:szCs w:val="24"/>
              </w:rPr>
              <w:footnoteReference w:id="1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101" w:rsidRPr="005531F9" w:rsidRDefault="00091101" w:rsidP="005845DC">
            <w:pPr>
              <w:jc w:val="center"/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3</w:t>
            </w:r>
          </w:p>
        </w:tc>
      </w:tr>
      <w:tr w:rsidR="00091101" w:rsidRPr="005531F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01" w:rsidRPr="005531F9" w:rsidRDefault="00091101" w:rsidP="001143F5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01" w:rsidRPr="005531F9" w:rsidRDefault="00091101" w:rsidP="002C0723">
            <w:pPr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Обеспечение защиты информации</w:t>
            </w:r>
            <w:proofErr w:type="gramStart"/>
            <w:r w:rsidRPr="005531F9"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101" w:rsidRPr="005531F9" w:rsidRDefault="00091101" w:rsidP="00EB2FD0">
            <w:pPr>
              <w:pStyle w:val="a4"/>
              <w:ind w:left="33" w:right="-85"/>
              <w:rPr>
                <w:sz w:val="24"/>
                <w:szCs w:val="24"/>
              </w:rPr>
            </w:pPr>
            <w:r w:rsidRPr="005531F9">
              <w:rPr>
                <w:color w:val="000000"/>
                <w:sz w:val="24"/>
                <w:szCs w:val="24"/>
              </w:rPr>
              <w:t xml:space="preserve">наличие </w:t>
            </w:r>
            <w:r w:rsidRPr="005531F9">
              <w:rPr>
                <w:sz w:val="24"/>
                <w:szCs w:val="24"/>
              </w:rPr>
              <w:t xml:space="preserve">документального подтверждения </w:t>
            </w:r>
            <w:r w:rsidR="009D4A97" w:rsidRPr="005531F9">
              <w:rPr>
                <w:sz w:val="24"/>
                <w:szCs w:val="24"/>
              </w:rPr>
              <w:t xml:space="preserve">(действующего в рейтинговый период) </w:t>
            </w:r>
            <w:r w:rsidRPr="005531F9">
              <w:rPr>
                <w:sz w:val="24"/>
                <w:szCs w:val="24"/>
              </w:rPr>
              <w:t>соответствия специализированного депозитария требованиям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операций, признаваемого ПАРТАД/ СРО НФА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1" w:rsidRPr="005531F9" w:rsidRDefault="00091101" w:rsidP="009B028B">
            <w:pPr>
              <w:jc w:val="center"/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2</w:t>
            </w:r>
          </w:p>
        </w:tc>
      </w:tr>
      <w:tr w:rsidR="00091101" w:rsidRPr="005531F9" w:rsidTr="009247C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01" w:rsidRPr="005531F9" w:rsidRDefault="00091101" w:rsidP="009247C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01" w:rsidRPr="005531F9" w:rsidRDefault="00091101" w:rsidP="007F05C3">
            <w:pPr>
              <w:rPr>
                <w:sz w:val="24"/>
                <w:szCs w:val="24"/>
              </w:rPr>
            </w:pPr>
            <w:r w:rsidRPr="005531F9">
              <w:rPr>
                <w:sz w:val="24"/>
                <w:szCs w:val="24"/>
              </w:rPr>
              <w:t>Соответствие системы менеджмента качества требованиям международных стандартов</w:t>
            </w:r>
            <w:proofErr w:type="gramStart"/>
            <w:r w:rsidRPr="005531F9"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101" w:rsidRPr="005531F9" w:rsidRDefault="009D0FDF" w:rsidP="009D0FDF">
            <w:pPr>
              <w:pStyle w:val="a4"/>
              <w:ind w:left="33" w:right="-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сертификата </w:t>
            </w:r>
            <w:r w:rsidR="009D4A97" w:rsidRPr="005531F9">
              <w:rPr>
                <w:sz w:val="24"/>
                <w:szCs w:val="24"/>
              </w:rPr>
              <w:t xml:space="preserve">(действующего в рейтинговый период) </w:t>
            </w:r>
            <w:r w:rsidR="00091101" w:rsidRPr="005531F9">
              <w:rPr>
                <w:sz w:val="24"/>
                <w:szCs w:val="24"/>
              </w:rPr>
              <w:t xml:space="preserve">соответствия системы менеджмента качества </w:t>
            </w:r>
            <w:r w:rsidR="00924A15" w:rsidRPr="005531F9">
              <w:rPr>
                <w:sz w:val="24"/>
                <w:szCs w:val="24"/>
              </w:rPr>
              <w:t xml:space="preserve">специализированного депозитария </w:t>
            </w:r>
            <w:r w:rsidR="00091101" w:rsidRPr="005531F9">
              <w:rPr>
                <w:sz w:val="24"/>
                <w:szCs w:val="24"/>
              </w:rPr>
              <w:t>требованиям международного стандарта ISO 9001</w:t>
            </w:r>
            <w:r w:rsidR="005531F9" w:rsidRPr="005531F9">
              <w:rPr>
                <w:sz w:val="24"/>
                <w:szCs w:val="24"/>
              </w:rPr>
              <w:t>:2015</w:t>
            </w:r>
            <w:r>
              <w:rPr>
                <w:rStyle w:val="ac"/>
                <w:sz w:val="24"/>
                <w:szCs w:val="24"/>
              </w:rPr>
              <w:footnoteReference w:id="1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01" w:rsidRPr="005531F9" w:rsidRDefault="00091101" w:rsidP="009247C0">
            <w:pPr>
              <w:jc w:val="center"/>
              <w:rPr>
                <w:sz w:val="24"/>
                <w:szCs w:val="24"/>
                <w:lang w:val="en-US"/>
              </w:rPr>
            </w:pPr>
            <w:r w:rsidRPr="005531F9">
              <w:rPr>
                <w:sz w:val="24"/>
                <w:szCs w:val="24"/>
                <w:lang w:val="en-US"/>
              </w:rPr>
              <w:t>2</w:t>
            </w:r>
          </w:p>
        </w:tc>
      </w:tr>
    </w:tbl>
    <w:p w:rsidR="0025222C" w:rsidRPr="009F1426" w:rsidRDefault="0025222C" w:rsidP="00D21BF1">
      <w:pPr>
        <w:pStyle w:val="just"/>
        <w:ind w:left="-142" w:right="-142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9F142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При расчете </w:t>
      </w:r>
      <w:r w:rsidR="00D21BF1" w:rsidRPr="009F142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данных позиций </w:t>
      </w:r>
      <w:r w:rsidRPr="009F142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рейтинга используются следующие методы: </w:t>
      </w:r>
    </w:p>
    <w:p w:rsidR="0025222C" w:rsidRPr="009F1426" w:rsidRDefault="0025222C" w:rsidP="00D21BF1">
      <w:pPr>
        <w:pStyle w:val="just"/>
        <w:ind w:left="-142" w:right="-14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1426">
        <w:rPr>
          <w:rFonts w:ascii="Times New Roman" w:eastAsia="Times New Roman" w:hAnsi="Times New Roman" w:cs="Times New Roman"/>
          <w:b/>
          <w:sz w:val="20"/>
          <w:szCs w:val="20"/>
        </w:rPr>
        <w:t>Метод 1. (</w:t>
      </w:r>
      <w:r w:rsidR="00D21BF1" w:rsidRPr="009F1426">
        <w:rPr>
          <w:rFonts w:ascii="Times New Roman" w:eastAsia="Times New Roman" w:hAnsi="Times New Roman" w:cs="Times New Roman"/>
          <w:b/>
          <w:sz w:val="20"/>
          <w:szCs w:val="20"/>
        </w:rPr>
        <w:t>Пункты 1-3, 5-7</w:t>
      </w:r>
      <w:r w:rsidRPr="009F1426">
        <w:rPr>
          <w:rFonts w:ascii="Times New Roman" w:eastAsia="Times New Roman" w:hAnsi="Times New Roman" w:cs="Times New Roman"/>
          <w:b/>
          <w:sz w:val="20"/>
          <w:szCs w:val="20"/>
        </w:rPr>
        <w:t xml:space="preserve">): ранжирование по максимальному значению. </w:t>
      </w:r>
    </w:p>
    <w:p w:rsidR="0025222C" w:rsidRPr="009F1426" w:rsidRDefault="0025222C" w:rsidP="00D21BF1">
      <w:pPr>
        <w:pStyle w:val="just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1426">
        <w:rPr>
          <w:rFonts w:ascii="Times New Roman" w:eastAsia="Times New Roman" w:hAnsi="Times New Roman" w:cs="Times New Roman"/>
          <w:sz w:val="20"/>
          <w:szCs w:val="20"/>
        </w:rPr>
        <w:t xml:space="preserve">Расчет производится следующим образом: определяется максимальное значение показателя по всем участникам рейтинга. После этого значения баллов для каждого </w:t>
      </w:r>
      <w:r w:rsidR="00D21BF1" w:rsidRPr="009F1426">
        <w:rPr>
          <w:rFonts w:ascii="Times New Roman" w:eastAsia="Times New Roman" w:hAnsi="Times New Roman" w:cs="Times New Roman"/>
          <w:sz w:val="20"/>
          <w:szCs w:val="20"/>
        </w:rPr>
        <w:t>специализированного депозитария</w:t>
      </w:r>
      <w:r w:rsidRPr="009F1426">
        <w:rPr>
          <w:rFonts w:ascii="Times New Roman" w:eastAsia="Times New Roman" w:hAnsi="Times New Roman" w:cs="Times New Roman"/>
          <w:sz w:val="20"/>
          <w:szCs w:val="20"/>
        </w:rPr>
        <w:t xml:space="preserve"> по данному показателя определяется по формуле X = CURVALUE*WEIGHT/MAXVALUE, где CURVALUE - значение поля для данной компании, WEIGHT - вес критерия согласно методике расчета рейтинга, MAXVALUE - максимальное значение данного поля. </w:t>
      </w:r>
    </w:p>
    <w:p w:rsidR="00B363B1" w:rsidRPr="009F1426" w:rsidRDefault="00B363B1" w:rsidP="00B363B1">
      <w:pPr>
        <w:pStyle w:val="just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1426">
        <w:rPr>
          <w:rFonts w:ascii="Times New Roman" w:eastAsia="Times New Roman" w:hAnsi="Times New Roman" w:cs="Times New Roman"/>
          <w:sz w:val="20"/>
          <w:szCs w:val="20"/>
        </w:rPr>
        <w:t xml:space="preserve">При двойном ранжировании показателя производится повторное ранжирование по максимальной величине суммы значений, полученных при первичном ранжировании по каждому подпоказателю. </w:t>
      </w:r>
    </w:p>
    <w:p w:rsidR="0025222C" w:rsidRPr="009F1426" w:rsidRDefault="0025222C" w:rsidP="00D21BF1">
      <w:pPr>
        <w:pStyle w:val="just"/>
        <w:ind w:left="-142" w:right="-14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1426">
        <w:rPr>
          <w:rFonts w:ascii="Times New Roman" w:eastAsia="Times New Roman" w:hAnsi="Times New Roman" w:cs="Times New Roman"/>
          <w:b/>
          <w:sz w:val="20"/>
          <w:szCs w:val="20"/>
        </w:rPr>
        <w:t>Метод 2. (</w:t>
      </w:r>
      <w:r w:rsidR="00D21BF1" w:rsidRPr="009F1426">
        <w:rPr>
          <w:rFonts w:ascii="Times New Roman" w:eastAsia="Times New Roman" w:hAnsi="Times New Roman" w:cs="Times New Roman"/>
          <w:b/>
          <w:sz w:val="20"/>
          <w:szCs w:val="20"/>
        </w:rPr>
        <w:t>Пункты 4, 8-1</w:t>
      </w:r>
      <w:r w:rsidR="00542BFC" w:rsidRPr="009F1426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9F1426">
        <w:rPr>
          <w:rFonts w:ascii="Times New Roman" w:eastAsia="Times New Roman" w:hAnsi="Times New Roman" w:cs="Times New Roman"/>
          <w:b/>
          <w:sz w:val="20"/>
          <w:szCs w:val="20"/>
        </w:rPr>
        <w:t xml:space="preserve">): ранжирование по критерию. </w:t>
      </w:r>
    </w:p>
    <w:p w:rsidR="0025222C" w:rsidRPr="008F7BB9" w:rsidRDefault="0025222C" w:rsidP="009F4E16">
      <w:pPr>
        <w:pStyle w:val="just"/>
        <w:ind w:left="-142" w:right="-142"/>
        <w:jc w:val="both"/>
        <w:rPr>
          <w:snapToGrid w:val="0"/>
        </w:rPr>
      </w:pPr>
      <w:r w:rsidRPr="009F1426">
        <w:rPr>
          <w:rFonts w:ascii="Times New Roman" w:eastAsia="Times New Roman" w:hAnsi="Times New Roman" w:cs="Times New Roman"/>
          <w:sz w:val="20"/>
          <w:szCs w:val="20"/>
        </w:rPr>
        <w:t xml:space="preserve">Каждой организации при соответствии её деятельности установленному показателю (критерию) </w:t>
      </w:r>
      <w:r w:rsidR="00D21BF1" w:rsidRPr="009F1426">
        <w:rPr>
          <w:rFonts w:ascii="Times New Roman" w:eastAsia="Times New Roman" w:hAnsi="Times New Roman" w:cs="Times New Roman"/>
          <w:sz w:val="20"/>
          <w:szCs w:val="20"/>
        </w:rPr>
        <w:t>присваивается</w:t>
      </w:r>
      <w:r w:rsidRPr="009F1426">
        <w:rPr>
          <w:rFonts w:ascii="Times New Roman" w:eastAsia="Times New Roman" w:hAnsi="Times New Roman" w:cs="Times New Roman"/>
          <w:sz w:val="20"/>
          <w:szCs w:val="20"/>
        </w:rPr>
        <w:t xml:space="preserve"> установленное количество баллов. Для получения итогового рейтингового балла величины рейтинга </w:t>
      </w:r>
      <w:r w:rsidR="00D21BF1" w:rsidRPr="009F1426">
        <w:rPr>
          <w:rFonts w:ascii="Times New Roman" w:eastAsia="Times New Roman" w:hAnsi="Times New Roman" w:cs="Times New Roman"/>
          <w:sz w:val="20"/>
          <w:szCs w:val="20"/>
        </w:rPr>
        <w:t>специализированного депозитария</w:t>
      </w:r>
      <w:r w:rsidRPr="009F1426">
        <w:rPr>
          <w:rFonts w:ascii="Times New Roman" w:eastAsia="Times New Roman" w:hAnsi="Times New Roman" w:cs="Times New Roman"/>
          <w:sz w:val="20"/>
          <w:szCs w:val="20"/>
        </w:rPr>
        <w:t xml:space="preserve"> все значения баллов по всем показателям методики </w:t>
      </w:r>
      <w:r w:rsidR="00B363B1" w:rsidRPr="009F1426">
        <w:rPr>
          <w:rFonts w:ascii="Times New Roman" w:eastAsia="Times New Roman" w:hAnsi="Times New Roman" w:cs="Times New Roman"/>
          <w:sz w:val="20"/>
          <w:szCs w:val="20"/>
        </w:rPr>
        <w:t xml:space="preserve">(с учетом двойного ранжирования) </w:t>
      </w:r>
      <w:r w:rsidRPr="009F1426">
        <w:rPr>
          <w:rFonts w:ascii="Times New Roman" w:eastAsia="Times New Roman" w:hAnsi="Times New Roman" w:cs="Times New Roman"/>
          <w:sz w:val="20"/>
          <w:szCs w:val="20"/>
        </w:rPr>
        <w:t>суммируются.</w:t>
      </w:r>
    </w:p>
    <w:sectPr w:rsidR="0025222C" w:rsidRPr="008F7BB9">
      <w:pgSz w:w="11906" w:h="16838" w:code="9"/>
      <w:pgMar w:top="567" w:right="707" w:bottom="426" w:left="851" w:header="568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D55" w:rsidRDefault="00BF4D55">
      <w:r>
        <w:separator/>
      </w:r>
    </w:p>
  </w:endnote>
  <w:endnote w:type="continuationSeparator" w:id="0">
    <w:p w:rsidR="00BF4D55" w:rsidRDefault="00BF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D55" w:rsidRDefault="00BF4D55">
      <w:r>
        <w:separator/>
      </w:r>
    </w:p>
  </w:footnote>
  <w:footnote w:type="continuationSeparator" w:id="0">
    <w:p w:rsidR="00BF4D55" w:rsidRDefault="00BF4D55">
      <w:r>
        <w:continuationSeparator/>
      </w:r>
    </w:p>
  </w:footnote>
  <w:footnote w:id="1">
    <w:p w:rsidR="00221A81" w:rsidRDefault="00221A81" w:rsidP="002C0723">
      <w:pPr>
        <w:pStyle w:val="aa"/>
        <w:ind w:right="-142"/>
        <w:jc w:val="both"/>
      </w:pPr>
      <w:r>
        <w:rPr>
          <w:rStyle w:val="ac"/>
        </w:rPr>
        <w:footnoteRef/>
      </w:r>
      <w:r>
        <w:t xml:space="preserve"> накопления для жилищного обеспечения военнослужащих (военная ипотека)</w:t>
      </w:r>
    </w:p>
  </w:footnote>
  <w:footnote w:id="2">
    <w:p w:rsidR="00221A81" w:rsidRDefault="00221A81" w:rsidP="002C0723">
      <w:pPr>
        <w:ind w:right="-142"/>
        <w:jc w:val="both"/>
      </w:pPr>
      <w:r>
        <w:rPr>
          <w:rStyle w:val="ac"/>
        </w:rPr>
        <w:footnoteRef/>
      </w:r>
      <w:r>
        <w:t xml:space="preserve"> ипотечное покрытие (ИП), </w:t>
      </w:r>
      <w:r>
        <w:rPr>
          <w:snapToGrid w:val="0"/>
        </w:rPr>
        <w:t xml:space="preserve">выпущенное в соответствии с законодательством Российской Федерации об </w:t>
      </w:r>
      <w:r>
        <w:t>ипотечных ценных бумагах</w:t>
      </w:r>
    </w:p>
  </w:footnote>
  <w:footnote w:id="3">
    <w:p w:rsidR="00D323AA" w:rsidRDefault="00D323AA">
      <w:pPr>
        <w:pStyle w:val="aa"/>
      </w:pPr>
      <w:r>
        <w:rPr>
          <w:rStyle w:val="ac"/>
        </w:rPr>
        <w:footnoteRef/>
      </w:r>
      <w:r>
        <w:t xml:space="preserve"> государственные корпорации</w:t>
      </w:r>
      <w:r w:rsidR="00077A06">
        <w:t>/госуд</w:t>
      </w:r>
      <w:bookmarkStart w:id="0" w:name="_GoBack"/>
      <w:bookmarkEnd w:id="0"/>
      <w:r w:rsidR="00077A06">
        <w:t>арственные фонды</w:t>
      </w:r>
    </w:p>
  </w:footnote>
  <w:footnote w:id="4">
    <w:p w:rsidR="005F2E6D" w:rsidRPr="009F1426" w:rsidRDefault="005F2E6D" w:rsidP="002C0723">
      <w:pPr>
        <w:pStyle w:val="aa"/>
        <w:ind w:right="-142"/>
        <w:jc w:val="both"/>
      </w:pPr>
      <w:r w:rsidRPr="00221A81">
        <w:rPr>
          <w:rStyle w:val="ac"/>
        </w:rPr>
        <w:footnoteRef/>
      </w:r>
      <w:r w:rsidRPr="00221A81">
        <w:t xml:space="preserve"> </w:t>
      </w:r>
      <w:proofErr w:type="gramStart"/>
      <w:r w:rsidRPr="00221A81">
        <w:t>Специализированным депозитариям</w:t>
      </w:r>
      <w:r w:rsidR="0007514E" w:rsidRPr="00221A81">
        <w:t>,</w:t>
      </w:r>
      <w:r w:rsidRPr="00221A81">
        <w:t xml:space="preserve"> совмещающим свою деятельность с банковской по умолчанию присваивается</w:t>
      </w:r>
      <w:proofErr w:type="gramEnd"/>
      <w:r w:rsidRPr="00221A81">
        <w:t xml:space="preserve"> максимальный балл </w:t>
      </w:r>
      <w:r w:rsidR="00C830F6">
        <w:t xml:space="preserve">в отношении </w:t>
      </w:r>
      <w:r w:rsidRPr="00221A81">
        <w:t xml:space="preserve"> размер</w:t>
      </w:r>
      <w:r w:rsidR="00C830F6">
        <w:t>а</w:t>
      </w:r>
      <w:r w:rsidRPr="00221A81">
        <w:t xml:space="preserve"> </w:t>
      </w:r>
      <w:r w:rsidR="00DB1165">
        <w:t xml:space="preserve">их </w:t>
      </w:r>
      <w:r w:rsidR="00C830F6">
        <w:t xml:space="preserve">покрытия контролируемого имущества, который не учитывается </w:t>
      </w:r>
      <w:r w:rsidRPr="00221A81">
        <w:t xml:space="preserve"> для расчета количества баллов </w:t>
      </w:r>
      <w:r w:rsidR="0030311F">
        <w:t xml:space="preserve">по </w:t>
      </w:r>
      <w:r w:rsidR="0030311F" w:rsidRPr="009F1426">
        <w:t>пункт</w:t>
      </w:r>
      <w:r w:rsidR="00C830F6" w:rsidRPr="009F1426">
        <w:t>ам</w:t>
      </w:r>
      <w:r w:rsidR="0030311F" w:rsidRPr="009F1426">
        <w:t xml:space="preserve"> 6</w:t>
      </w:r>
      <w:r w:rsidR="00C830F6" w:rsidRPr="009F1426">
        <w:t xml:space="preserve"> и 7</w:t>
      </w:r>
      <w:r w:rsidR="0030311F" w:rsidRPr="009F1426">
        <w:t xml:space="preserve"> Методики </w:t>
      </w:r>
      <w:r w:rsidR="00C830F6" w:rsidRPr="009F1426">
        <w:t xml:space="preserve">у </w:t>
      </w:r>
      <w:r w:rsidRPr="009F1426">
        <w:t>небанковских специализированных депозитариев.</w:t>
      </w:r>
    </w:p>
  </w:footnote>
  <w:footnote w:id="5">
    <w:p w:rsidR="009F4E16" w:rsidRDefault="009F4E16" w:rsidP="009F4E16">
      <w:pPr>
        <w:jc w:val="both"/>
      </w:pPr>
      <w:r w:rsidRPr="009F1426">
        <w:rPr>
          <w:rStyle w:val="ac"/>
        </w:rPr>
        <w:footnoteRef/>
      </w:r>
      <w:r w:rsidRPr="009F1426">
        <w:t xml:space="preserve"> КП(</w:t>
      </w:r>
      <w:proofErr w:type="gramStart"/>
      <w:r w:rsidR="00C3024C" w:rsidRPr="009F1426">
        <w:rPr>
          <w:lang w:val="en-US"/>
        </w:rPr>
        <w:t>c</w:t>
      </w:r>
      <w:proofErr w:type="gramEnd"/>
      <w:r w:rsidRPr="009F1426">
        <w:t>деп) = (СК + СП) / РС(</w:t>
      </w:r>
      <w:r w:rsidR="00C3024C" w:rsidRPr="009F1426">
        <w:rPr>
          <w:lang w:val="en-US"/>
        </w:rPr>
        <w:t>c</w:t>
      </w:r>
      <w:r w:rsidRPr="009F1426">
        <w:t>деп) - коэффициент покрытия контролируемого спецдепозитарием имущества, где: СК - собственный капитал (собственные средства) организации; СП - страховое покрытие по заключенным организацией договорам страхования спецдепозитарной деятельности</w:t>
      </w:r>
      <w:r w:rsidR="009F1426" w:rsidRPr="009F1426">
        <w:t>;</w:t>
      </w:r>
      <w:r w:rsidRPr="009F1426">
        <w:t xml:space="preserve"> Р</w:t>
      </w:r>
      <w:proofErr w:type="gramStart"/>
      <w:r w:rsidRPr="009F1426">
        <w:t>С(</w:t>
      </w:r>
      <w:proofErr w:type="gramEnd"/>
      <w:r w:rsidRPr="009F1426">
        <w:t>деп) – суммарный объем контролируемого спецдепозитарием имущества</w:t>
      </w:r>
    </w:p>
  </w:footnote>
  <w:footnote w:id="6">
    <w:p w:rsidR="00091101" w:rsidRDefault="00091101" w:rsidP="002C0723">
      <w:pPr>
        <w:ind w:right="-142"/>
        <w:jc w:val="both"/>
      </w:pPr>
      <w:r>
        <w:rPr>
          <w:rStyle w:val="ac"/>
        </w:rPr>
        <w:footnoteRef/>
      </w:r>
      <w:r>
        <w:t xml:space="preserve"> </w:t>
      </w:r>
      <w:r w:rsidRPr="006316EC">
        <w:t>в случае возложения функци</w:t>
      </w:r>
      <w:r>
        <w:t>й по организации системы управления рисками на контролера данный сотрудник указывается только по строке «</w:t>
      </w:r>
      <w:r w:rsidRPr="006316EC">
        <w:t>количество сотрудников подразделения внутреннего контроля/сотрудников, осуществляющих внутренний контроль</w:t>
      </w:r>
      <w:r>
        <w:t>»</w:t>
      </w:r>
    </w:p>
  </w:footnote>
  <w:footnote w:id="7">
    <w:p w:rsidR="00091101" w:rsidRPr="003F1285" w:rsidRDefault="00091101" w:rsidP="002C0723">
      <w:pPr>
        <w:ind w:right="-142"/>
        <w:jc w:val="both"/>
      </w:pPr>
      <w:r>
        <w:rPr>
          <w:rStyle w:val="ac"/>
        </w:rPr>
        <w:footnoteRef/>
      </w:r>
      <w:r>
        <w:t xml:space="preserve"> </w:t>
      </w:r>
      <w:r w:rsidRPr="003F1285">
        <w:rPr>
          <w:vertAlign w:val="superscript"/>
        </w:rPr>
        <w:t xml:space="preserve"> </w:t>
      </w:r>
      <w:r w:rsidRPr="003F1285">
        <w:t>для расчета данн</w:t>
      </w:r>
      <w:r>
        <w:t>ого</w:t>
      </w:r>
      <w:r w:rsidRPr="003F1285">
        <w:t xml:space="preserve"> </w:t>
      </w:r>
      <w:r>
        <w:t>показателя</w:t>
      </w:r>
      <w:r w:rsidRPr="003F1285">
        <w:t xml:space="preserve"> используется двойное ранжирование: сначала по каждой строке, а затем по сумме баллов </w:t>
      </w:r>
    </w:p>
    <w:p w:rsidR="00091101" w:rsidRDefault="00091101">
      <w:pPr>
        <w:pStyle w:val="aa"/>
      </w:pPr>
    </w:p>
  </w:footnote>
  <w:footnote w:id="8">
    <w:p w:rsidR="00091101" w:rsidRDefault="00091101" w:rsidP="002C0723">
      <w:pPr>
        <w:ind w:right="-142"/>
        <w:jc w:val="both"/>
      </w:pPr>
      <w:r>
        <w:rPr>
          <w:rStyle w:val="ac"/>
        </w:rPr>
        <w:footnoteRef/>
      </w:r>
      <w:r>
        <w:t xml:space="preserve"> </w:t>
      </w:r>
      <w:r w:rsidRPr="009F1426">
        <w:t>показатели, предусмотренные пунктами  1</w:t>
      </w:r>
      <w:r w:rsidR="009D4A97" w:rsidRPr="009F1426">
        <w:t>2</w:t>
      </w:r>
      <w:r w:rsidRPr="009F1426">
        <w:t>, 1</w:t>
      </w:r>
      <w:r w:rsidR="009D4A97" w:rsidRPr="009F1426">
        <w:t>3 и 14</w:t>
      </w:r>
      <w:r w:rsidRPr="009F1426">
        <w:t xml:space="preserve"> Методики учитыва</w:t>
      </w:r>
      <w:r w:rsidR="00C830F6" w:rsidRPr="009F1426">
        <w:t>ются</w:t>
      </w:r>
      <w:r w:rsidRPr="009F1426">
        <w:t xml:space="preserve"> в расчете Национального рейтинга специализированных депозитариев  по мере </w:t>
      </w:r>
      <w:r w:rsidR="009D4A97" w:rsidRPr="009F1426">
        <w:t>предоставления в ПАРТАД</w:t>
      </w:r>
      <w:r w:rsidR="00DB3113">
        <w:t>/</w:t>
      </w:r>
      <w:r w:rsidR="009D4A97" w:rsidRPr="009F1426">
        <w:t>СРО</w:t>
      </w:r>
      <w:r w:rsidR="00DB3113">
        <w:t> </w:t>
      </w:r>
      <w:r w:rsidR="009D4A97" w:rsidRPr="009F1426">
        <w:t xml:space="preserve">НФА надлежаще оформленных подтверждений соответствия </w:t>
      </w:r>
      <w:proofErr w:type="gramStart"/>
      <w:r w:rsidR="00C3024C" w:rsidRPr="009F1426">
        <w:rPr>
          <w:lang w:val="en-US"/>
        </w:rPr>
        <w:t>c</w:t>
      </w:r>
      <w:proofErr w:type="gramEnd"/>
      <w:r w:rsidR="009D4A97" w:rsidRPr="009F1426">
        <w:t>оответствующим стандартам и требованиям,</w:t>
      </w:r>
      <w:r w:rsidRPr="009F1426">
        <w:t xml:space="preserve"> </w:t>
      </w:r>
      <w:r w:rsidR="00DB3113">
        <w:t>предоставленных</w:t>
      </w:r>
      <w:r w:rsidRPr="009F1426">
        <w:t xml:space="preserve"> </w:t>
      </w:r>
      <w:r w:rsidR="009D4A97" w:rsidRPr="009F1426">
        <w:t>организациями</w:t>
      </w:r>
      <w:r w:rsidR="00DB3113">
        <w:t>,</w:t>
      </w:r>
      <w:r w:rsidR="009D4A97" w:rsidRPr="009F1426">
        <w:t xml:space="preserve"> признанными ПАРТАД / СРО НФА</w:t>
      </w:r>
      <w:r w:rsidR="009D4A97">
        <w:t xml:space="preserve">  </w:t>
      </w:r>
    </w:p>
  </w:footnote>
  <w:footnote w:id="9">
    <w:p w:rsidR="000F2DA4" w:rsidRPr="000F2DA4" w:rsidRDefault="000F2DA4">
      <w:pPr>
        <w:pStyle w:val="aa"/>
        <w:rPr>
          <w:lang w:val="en-US"/>
        </w:rPr>
      </w:pPr>
      <w:r>
        <w:rPr>
          <w:rStyle w:val="ac"/>
        </w:rPr>
        <w:footnoteRef/>
      </w:r>
      <w:r w:rsidRPr="000F2DA4">
        <w:rPr>
          <w:lang w:val="en-US"/>
        </w:rPr>
        <w:t xml:space="preserve">  </w:t>
      </w:r>
      <w:r>
        <w:rPr>
          <w:lang w:val="en-US"/>
        </w:rPr>
        <w:t xml:space="preserve">COSO Internal Control </w:t>
      </w:r>
      <w:r w:rsidR="00DB3113" w:rsidRPr="00DB3113">
        <w:rPr>
          <w:lang w:val="en-US"/>
        </w:rPr>
        <w:t xml:space="preserve">– </w:t>
      </w:r>
      <w:r w:rsidR="00DB3113">
        <w:rPr>
          <w:lang w:val="en-US"/>
        </w:rPr>
        <w:t xml:space="preserve">Integrated Framework </w:t>
      </w:r>
      <w:r>
        <w:rPr>
          <w:lang w:val="en-US"/>
        </w:rPr>
        <w:t>(</w:t>
      </w:r>
      <w:r w:rsidRPr="000F2DA4">
        <w:rPr>
          <w:lang w:val="en-US"/>
        </w:rPr>
        <w:t>2013</w:t>
      </w:r>
      <w:r>
        <w:rPr>
          <w:lang w:val="en-US"/>
        </w:rPr>
        <w:t>)</w:t>
      </w:r>
    </w:p>
  </w:footnote>
  <w:footnote w:id="10">
    <w:p w:rsidR="000F2DA4" w:rsidRPr="00DB3113" w:rsidRDefault="000F2DA4">
      <w:pPr>
        <w:pStyle w:val="aa"/>
        <w:rPr>
          <w:lang w:val="en-US"/>
        </w:rPr>
      </w:pPr>
      <w:r>
        <w:rPr>
          <w:rStyle w:val="ac"/>
        </w:rPr>
        <w:footnoteRef/>
      </w:r>
      <w:r w:rsidRPr="000F2DA4">
        <w:rPr>
          <w:lang w:val="en-US"/>
        </w:rPr>
        <w:t xml:space="preserve"> </w:t>
      </w:r>
      <w:r>
        <w:rPr>
          <w:lang w:val="en-US"/>
        </w:rPr>
        <w:t xml:space="preserve">COSO Enterprise Risk Management </w:t>
      </w:r>
      <w:r w:rsidR="00DB3113" w:rsidRPr="00DB3113">
        <w:rPr>
          <w:lang w:val="en-US"/>
        </w:rPr>
        <w:t xml:space="preserve">– </w:t>
      </w:r>
      <w:r w:rsidR="00DB3113">
        <w:rPr>
          <w:lang w:val="en-US"/>
        </w:rPr>
        <w:t xml:space="preserve">Integrated Framework </w:t>
      </w:r>
      <w:r>
        <w:rPr>
          <w:lang w:val="en-US"/>
        </w:rPr>
        <w:t>(2017)</w:t>
      </w:r>
      <w:r w:rsidR="00DB3113" w:rsidRPr="00DB3113">
        <w:rPr>
          <w:lang w:val="en-US"/>
        </w:rPr>
        <w:t xml:space="preserve">, </w:t>
      </w:r>
      <w:r w:rsidR="00DB3113">
        <w:rPr>
          <w:lang w:val="en-US"/>
        </w:rPr>
        <w:t>COSO Enterprise Risk Management</w:t>
      </w:r>
      <w:r w:rsidR="00DB3113" w:rsidRPr="00DB3113">
        <w:rPr>
          <w:lang w:val="en-US"/>
        </w:rPr>
        <w:t xml:space="preserve"> (2004)</w:t>
      </w:r>
    </w:p>
  </w:footnote>
  <w:footnote w:id="11">
    <w:p w:rsidR="009D0FDF" w:rsidRPr="009D0FDF" w:rsidRDefault="009D0FDF">
      <w:pPr>
        <w:pStyle w:val="aa"/>
      </w:pPr>
      <w:r>
        <w:rPr>
          <w:rStyle w:val="ac"/>
        </w:rPr>
        <w:footnoteRef/>
      </w:r>
      <w:r>
        <w:t xml:space="preserve"> выданного организацией, аккредитованной</w:t>
      </w:r>
      <w:r w:rsidRPr="009D0FDF">
        <w:t xml:space="preserve"> ПАРТАД/СРО НФА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A2C0F"/>
    <w:multiLevelType w:val="singleLevel"/>
    <w:tmpl w:val="0A3628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96C7579"/>
    <w:multiLevelType w:val="singleLevel"/>
    <w:tmpl w:val="13FAC0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D3"/>
    <w:rsid w:val="0003469A"/>
    <w:rsid w:val="000728D6"/>
    <w:rsid w:val="0007514E"/>
    <w:rsid w:val="00077A06"/>
    <w:rsid w:val="00090CD3"/>
    <w:rsid w:val="00091101"/>
    <w:rsid w:val="000F2DA4"/>
    <w:rsid w:val="0010775C"/>
    <w:rsid w:val="001143F5"/>
    <w:rsid w:val="00133457"/>
    <w:rsid w:val="00197372"/>
    <w:rsid w:val="002065B4"/>
    <w:rsid w:val="00221A81"/>
    <w:rsid w:val="00225EAF"/>
    <w:rsid w:val="0025222C"/>
    <w:rsid w:val="002A27ED"/>
    <w:rsid w:val="002C0723"/>
    <w:rsid w:val="0030311F"/>
    <w:rsid w:val="00332CEF"/>
    <w:rsid w:val="00347844"/>
    <w:rsid w:val="003A0752"/>
    <w:rsid w:val="003F1285"/>
    <w:rsid w:val="00483951"/>
    <w:rsid w:val="00516343"/>
    <w:rsid w:val="005429E0"/>
    <w:rsid w:val="00542BFC"/>
    <w:rsid w:val="005531F9"/>
    <w:rsid w:val="005D09A0"/>
    <w:rsid w:val="005F2E6D"/>
    <w:rsid w:val="006316EC"/>
    <w:rsid w:val="006519B5"/>
    <w:rsid w:val="006E3294"/>
    <w:rsid w:val="006E6453"/>
    <w:rsid w:val="006E6897"/>
    <w:rsid w:val="0070145E"/>
    <w:rsid w:val="00701DA7"/>
    <w:rsid w:val="007105B5"/>
    <w:rsid w:val="00772610"/>
    <w:rsid w:val="00785E9E"/>
    <w:rsid w:val="007E3E23"/>
    <w:rsid w:val="007E7AFE"/>
    <w:rsid w:val="007F05C3"/>
    <w:rsid w:val="007F3A8C"/>
    <w:rsid w:val="008209DD"/>
    <w:rsid w:val="00834E88"/>
    <w:rsid w:val="008377B1"/>
    <w:rsid w:val="00882822"/>
    <w:rsid w:val="00884BCD"/>
    <w:rsid w:val="008E42F1"/>
    <w:rsid w:val="008F7BB9"/>
    <w:rsid w:val="009035A9"/>
    <w:rsid w:val="00906F36"/>
    <w:rsid w:val="00924A15"/>
    <w:rsid w:val="009471B5"/>
    <w:rsid w:val="00973DD0"/>
    <w:rsid w:val="009D0FDF"/>
    <w:rsid w:val="009D4A97"/>
    <w:rsid w:val="009F1426"/>
    <w:rsid w:val="009F25CA"/>
    <w:rsid w:val="009F4E16"/>
    <w:rsid w:val="00A16531"/>
    <w:rsid w:val="00B0437D"/>
    <w:rsid w:val="00B132E7"/>
    <w:rsid w:val="00B363B1"/>
    <w:rsid w:val="00BA2C25"/>
    <w:rsid w:val="00BC2A27"/>
    <w:rsid w:val="00BF38F7"/>
    <w:rsid w:val="00BF4D55"/>
    <w:rsid w:val="00C010A7"/>
    <w:rsid w:val="00C3024C"/>
    <w:rsid w:val="00C32CF4"/>
    <w:rsid w:val="00C6009A"/>
    <w:rsid w:val="00C779C1"/>
    <w:rsid w:val="00C830F6"/>
    <w:rsid w:val="00C83807"/>
    <w:rsid w:val="00CD33E9"/>
    <w:rsid w:val="00D01A16"/>
    <w:rsid w:val="00D06E98"/>
    <w:rsid w:val="00D1796D"/>
    <w:rsid w:val="00D21BF1"/>
    <w:rsid w:val="00D323AA"/>
    <w:rsid w:val="00D853EB"/>
    <w:rsid w:val="00DA032E"/>
    <w:rsid w:val="00DA31CE"/>
    <w:rsid w:val="00DB1165"/>
    <w:rsid w:val="00DB3113"/>
    <w:rsid w:val="00DE02A9"/>
    <w:rsid w:val="00E35D6A"/>
    <w:rsid w:val="00E871DF"/>
    <w:rsid w:val="00EB2FD0"/>
    <w:rsid w:val="00EC4381"/>
    <w:rsid w:val="00F010CD"/>
    <w:rsid w:val="00F02E04"/>
    <w:rsid w:val="00F17D36"/>
    <w:rsid w:val="00F500B8"/>
    <w:rsid w:val="00F6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08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left="851"/>
      <w:jc w:val="center"/>
    </w:pPr>
    <w:rPr>
      <w:b/>
      <w:sz w:val="22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paragraph" w:styleId="a7">
    <w:name w:val="Normal (Web)"/>
    <w:basedOn w:val="a"/>
    <w:semiHidden/>
    <w:rsid w:val="00225EA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just">
    <w:name w:val="just"/>
    <w:basedOn w:val="a"/>
    <w:rsid w:val="0048395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2C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2C25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5F2E6D"/>
  </w:style>
  <w:style w:type="character" w:customStyle="1" w:styleId="ab">
    <w:name w:val="Текст сноски Знак"/>
    <w:basedOn w:val="a0"/>
    <w:link w:val="aa"/>
    <w:uiPriority w:val="99"/>
    <w:semiHidden/>
    <w:rsid w:val="005F2E6D"/>
  </w:style>
  <w:style w:type="character" w:styleId="ac">
    <w:name w:val="footnote reference"/>
    <w:basedOn w:val="a0"/>
    <w:uiPriority w:val="99"/>
    <w:semiHidden/>
    <w:unhideWhenUsed/>
    <w:rsid w:val="005F2E6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F010CD"/>
  </w:style>
  <w:style w:type="character" w:customStyle="1" w:styleId="ae">
    <w:name w:val="Текст концевой сноски Знак"/>
    <w:basedOn w:val="a0"/>
    <w:link w:val="ad"/>
    <w:uiPriority w:val="99"/>
    <w:semiHidden/>
    <w:rsid w:val="00F010CD"/>
  </w:style>
  <w:style w:type="character" w:styleId="af">
    <w:name w:val="endnote reference"/>
    <w:basedOn w:val="a0"/>
    <w:uiPriority w:val="99"/>
    <w:semiHidden/>
    <w:unhideWhenUsed/>
    <w:rsid w:val="00F010CD"/>
    <w:rPr>
      <w:vertAlign w:val="superscript"/>
    </w:rPr>
  </w:style>
  <w:style w:type="character" w:customStyle="1" w:styleId="highlight">
    <w:name w:val="highlight"/>
    <w:basedOn w:val="a0"/>
    <w:rsid w:val="00B132E7"/>
    <w:rPr>
      <w:b/>
      <w:bCs/>
      <w:shd w:val="clear" w:color="auto" w:fill="FFFFC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08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left="851"/>
      <w:jc w:val="center"/>
    </w:pPr>
    <w:rPr>
      <w:b/>
      <w:sz w:val="22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paragraph" w:styleId="a7">
    <w:name w:val="Normal (Web)"/>
    <w:basedOn w:val="a"/>
    <w:semiHidden/>
    <w:rsid w:val="00225EA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just">
    <w:name w:val="just"/>
    <w:basedOn w:val="a"/>
    <w:rsid w:val="0048395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2C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2C25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5F2E6D"/>
  </w:style>
  <w:style w:type="character" w:customStyle="1" w:styleId="ab">
    <w:name w:val="Текст сноски Знак"/>
    <w:basedOn w:val="a0"/>
    <w:link w:val="aa"/>
    <w:uiPriority w:val="99"/>
    <w:semiHidden/>
    <w:rsid w:val="005F2E6D"/>
  </w:style>
  <w:style w:type="character" w:styleId="ac">
    <w:name w:val="footnote reference"/>
    <w:basedOn w:val="a0"/>
    <w:uiPriority w:val="99"/>
    <w:semiHidden/>
    <w:unhideWhenUsed/>
    <w:rsid w:val="005F2E6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F010CD"/>
  </w:style>
  <w:style w:type="character" w:customStyle="1" w:styleId="ae">
    <w:name w:val="Текст концевой сноски Знак"/>
    <w:basedOn w:val="a0"/>
    <w:link w:val="ad"/>
    <w:uiPriority w:val="99"/>
    <w:semiHidden/>
    <w:rsid w:val="00F010CD"/>
  </w:style>
  <w:style w:type="character" w:styleId="af">
    <w:name w:val="endnote reference"/>
    <w:basedOn w:val="a0"/>
    <w:uiPriority w:val="99"/>
    <w:semiHidden/>
    <w:unhideWhenUsed/>
    <w:rsid w:val="00F010CD"/>
    <w:rPr>
      <w:vertAlign w:val="superscript"/>
    </w:rPr>
  </w:style>
  <w:style w:type="character" w:customStyle="1" w:styleId="highlight">
    <w:name w:val="highlight"/>
    <w:basedOn w:val="a0"/>
    <w:rsid w:val="00B132E7"/>
    <w:rPr>
      <w:b/>
      <w:bCs/>
      <w:shd w:val="clear" w:color="auto" w:fill="FFFF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00486-83A7-4CBD-9855-A5F5AA02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630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определения совокупной взвешенной оценки (рейтинга)</vt:lpstr>
    </vt:vector>
  </TitlesOfParts>
  <Company>Microsoft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определения совокупной взвешенной оценки (рейтинга)</dc:title>
  <dc:creator>Павел</dc:creator>
  <cp:lastModifiedBy>Владимир Фомин</cp:lastModifiedBy>
  <cp:revision>4</cp:revision>
  <cp:lastPrinted>2020-08-28T13:18:00Z</cp:lastPrinted>
  <dcterms:created xsi:type="dcterms:W3CDTF">2020-08-28T13:17:00Z</dcterms:created>
  <dcterms:modified xsi:type="dcterms:W3CDTF">2020-12-28T09:41:00Z</dcterms:modified>
</cp:coreProperties>
</file>