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A2" w:rsidRPr="00F85AA2" w:rsidRDefault="00E873E9" w:rsidP="008A0E9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Программа</w:t>
      </w:r>
      <w:r w:rsidR="00CD5AF3" w:rsidRPr="00F85A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5511FC" w:rsidRPr="00F85A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дискуссий</w:t>
      </w:r>
      <w:r w:rsidR="00F85AA2" w:rsidRPr="00F85AA2">
        <w:rPr>
          <w:rStyle w:val="a6"/>
          <w:rFonts w:ascii="Times New Roman" w:hAnsi="Times New Roman" w:cs="Times New Roman"/>
          <w:b/>
          <w:color w:val="7030A0"/>
          <w:sz w:val="28"/>
          <w:szCs w:val="28"/>
        </w:rPr>
        <w:footnoteReference w:id="1"/>
      </w:r>
      <w:r w:rsidR="005511FC" w:rsidRPr="00F85A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CD5AF3" w:rsidRPr="00F85A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 семинаре</w:t>
      </w:r>
      <w:r w:rsidR="00521306" w:rsidRPr="00F85A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253C28" w:rsidRPr="00F85AA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F85AA2" w:rsidRDefault="00253C28" w:rsidP="008A0E9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85AA2">
        <w:rPr>
          <w:rFonts w:ascii="Times New Roman" w:hAnsi="Times New Roman" w:cs="Times New Roman"/>
          <w:b/>
          <w:color w:val="00B050"/>
          <w:sz w:val="28"/>
          <w:szCs w:val="28"/>
        </w:rPr>
        <w:t>«Актуальные  проблемы инфраструктура рынка ценных</w:t>
      </w:r>
      <w:r w:rsidR="00F85A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бумаг</w:t>
      </w:r>
      <w:r w:rsidRPr="00F85AA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и цифровых финансовых активов»</w:t>
      </w:r>
    </w:p>
    <w:p w:rsidR="00F85AA2" w:rsidRPr="00F85AA2" w:rsidRDefault="00F85AA2" w:rsidP="008A0E9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85AA2" w:rsidRPr="00BA4303" w:rsidRDefault="00F85AA2" w:rsidP="008A0E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18</w:t>
      </w:r>
      <w:r w:rsidRPr="00B1266E"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  <w:r w:rsidRPr="00BA4303">
        <w:rPr>
          <w:rFonts w:ascii="Times New Roman" w:hAnsi="Times New Roman" w:cs="Times New Roman"/>
          <w:b/>
          <w:i/>
          <w:color w:val="7030A0"/>
          <w:sz w:val="28"/>
          <w:szCs w:val="28"/>
        </w:rPr>
        <w:t>04</w:t>
      </w:r>
      <w:r w:rsidRPr="00B1266E">
        <w:rPr>
          <w:rFonts w:ascii="Times New Roman" w:hAnsi="Times New Roman" w:cs="Times New Roman"/>
          <w:b/>
          <w:i/>
          <w:color w:val="7030A0"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21.</w:t>
      </w:r>
      <w:r w:rsidRPr="00BA4303">
        <w:rPr>
          <w:rFonts w:ascii="Times New Roman" w:hAnsi="Times New Roman" w:cs="Times New Roman"/>
          <w:b/>
          <w:i/>
          <w:color w:val="7030A0"/>
          <w:sz w:val="28"/>
          <w:szCs w:val="28"/>
        </w:rPr>
        <w:t>04</w:t>
      </w:r>
      <w:r w:rsidRPr="00B1266E">
        <w:rPr>
          <w:rFonts w:ascii="Times New Roman" w:hAnsi="Times New Roman" w:cs="Times New Roman"/>
          <w:b/>
          <w:i/>
          <w:color w:val="7030A0"/>
          <w:sz w:val="28"/>
          <w:szCs w:val="28"/>
        </w:rPr>
        <w:t>.202</w:t>
      </w:r>
      <w:r w:rsidRPr="00DA3854">
        <w:rPr>
          <w:rFonts w:ascii="Times New Roman" w:hAnsi="Times New Roman" w:cs="Times New Roman"/>
          <w:b/>
          <w:i/>
          <w:color w:val="7030A0"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, Карелия, отель-клуб «Гардарика»</w:t>
      </w:r>
    </w:p>
    <w:p w:rsidR="001A1674" w:rsidRPr="00F85AA2" w:rsidRDefault="00F85AA2" w:rsidP="008A0E9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E41347" w:rsidRDefault="00521306" w:rsidP="00E4134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B235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4134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E41347" w:rsidRPr="00E41181" w:rsidRDefault="00E41347" w:rsidP="00E4134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E41181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19 апреля</w:t>
      </w:r>
    </w:p>
    <w:p w:rsidR="00E41347" w:rsidRPr="00E41347" w:rsidRDefault="00E41347" w:rsidP="00E41347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ab/>
      </w:r>
    </w:p>
    <w:p w:rsidR="00E41347" w:rsidRPr="00E41347" w:rsidRDefault="00E41347" w:rsidP="00E4134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</w:t>
      </w: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10.00- 1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2</w:t>
      </w: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.00 </w:t>
      </w:r>
    </w:p>
    <w:p w:rsidR="00E41347" w:rsidRPr="008A44C2" w:rsidRDefault="00E41347" w:rsidP="00E4134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85058" w:rsidRDefault="00E41347" w:rsidP="008A0E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A0E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11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3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5058" w:rsidRPr="008A44C2">
        <w:rPr>
          <w:rFonts w:ascii="Times New Roman" w:hAnsi="Times New Roman" w:cs="Times New Roman"/>
          <w:b/>
          <w:i/>
          <w:sz w:val="28"/>
          <w:szCs w:val="28"/>
        </w:rPr>
        <w:t>Организация работы блокчейн-сети</w:t>
      </w:r>
    </w:p>
    <w:p w:rsidR="00E41347" w:rsidRDefault="00E41347" w:rsidP="008A0E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E41347" w:rsidRDefault="00E41347" w:rsidP="008A0E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CD5AF3" w:rsidRPr="008A44C2" w:rsidRDefault="00CD5AF3" w:rsidP="008A0E90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Частный (закрытый) блокчейн - это система, созданная группой организаций на основе соглашения. Возможность присоединение к закрытой системе определяется набором требований к претенденту и правилами приема новых участников. В такой сети участники идентифицированы, и за </w:t>
      </w:r>
      <w:r w:rsidR="004E332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каждым из них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закреплен определенный статус. В большинстве случаев существует некоторый орган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координирующий соблюдение правил сети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Например, совет представителей ее участников.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Примером подобного блокчейна может служить БлокНод</w:t>
      </w:r>
      <w:r w:rsidRPr="008A44C2">
        <w:rPr>
          <w:rStyle w:val="a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2"/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созданный  группой регистраторов для обмена информацией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создания баз данных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D5AF3" w:rsidRPr="008A44C2" w:rsidRDefault="00CD5AF3" w:rsidP="008A0E90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Полным объемом прав обладает ограниченная группа учредителей и присоединившихся к ним участников, отвечающих заданным требованиям. При этом все они, как правило, действительно равны и никто не может считаться 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контролирующим владельцем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То есть, если группа организаций хочет создать общую информационную систему, но по каким-то организационным или политическим причинам не хочет, чтобы кто-то из них оказался в особом положении, то такая структура хорошо подходит для решения задачи</w:t>
      </w:r>
      <w:r w:rsidRPr="008A44C2">
        <w:rPr>
          <w:rStyle w:val="a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footnoteReference w:id="3"/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Хотя все же нельзя сказать, что все </w:t>
      </w:r>
      <w:r w:rsidR="005860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участники закрытого блокчейна 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абсолютно</w:t>
      </w:r>
      <w:r w:rsidR="005860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равны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Всегда есть разработчик 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непосредственный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заказчик софта. Кто-то должен оперативно поддерживать работоспособность системы. То есть, если начать смотреть на подробности, то полного равенства мы не увидим. Но все же в первом приближении нет такого участника, от которого все остальные явно находились бы в зависимости. В определенных случаях только такая конструкция и может быть реализована.</w:t>
      </w:r>
    </w:p>
    <w:p w:rsidR="00685058" w:rsidRPr="008A44C2" w:rsidRDefault="00685058" w:rsidP="008A0E90">
      <w:pPr>
        <w:tabs>
          <w:tab w:val="left" w:pos="567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Возможны и другие варианты и их необходимо обсудить с участ</w:t>
      </w:r>
      <w:r w:rsidR="007216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никами семинара, как группой независимых экспертов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685058" w:rsidRPr="008A44C2" w:rsidRDefault="00685058" w:rsidP="008A0E90">
      <w:pPr>
        <w:spacing w:after="0" w:line="240" w:lineRule="auto"/>
        <w:ind w:left="567" w:righ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41347" w:rsidRPr="00E41347" w:rsidRDefault="00521306" w:rsidP="008A0E90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 xml:space="preserve">    </w:t>
      </w:r>
      <w:r w:rsidR="00267AAD" w:rsidRPr="00E41347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 xml:space="preserve">  </w:t>
      </w:r>
      <w:r w:rsidR="00E41347" w:rsidRPr="00E41347"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>12.15 -14.00</w:t>
      </w:r>
    </w:p>
    <w:p w:rsidR="00E41347" w:rsidRPr="00E41347" w:rsidRDefault="00E41347" w:rsidP="008A0E90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</w:pPr>
    </w:p>
    <w:p w:rsidR="00CD5AF3" w:rsidRPr="008A44C2" w:rsidRDefault="00E41347" w:rsidP="008A0E90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</w:t>
      </w:r>
      <w:r w:rsidR="0052130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CD5AF3" w:rsidRPr="008A44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Проблема связи блокчейн</w:t>
      </w:r>
      <w:r w:rsidR="00253C2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-сети</w:t>
      </w:r>
      <w:r w:rsidR="00CD5AF3" w:rsidRPr="008A44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 традиционными учетными системами и с другими блокчейн</w:t>
      </w:r>
      <w:r w:rsidR="00253C2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-сетями</w:t>
      </w:r>
    </w:p>
    <w:p w:rsidR="00CD5AF3" w:rsidRPr="008A44C2" w:rsidRDefault="00CD5AF3" w:rsidP="008A0E90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5AF3" w:rsidRPr="008A44C2" w:rsidRDefault="00CD5AF3" w:rsidP="008A0E90">
      <w:pPr>
        <w:tabs>
          <w:tab w:val="left" w:pos="9355"/>
        </w:tabs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Кажд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блокчейн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-сеть (сеть нод) 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существует сам по себе. Разные системы не связаны между собой и </w:t>
      </w:r>
      <w:r w:rsidR="00685058"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пока </w:t>
      </w:r>
      <w:r w:rsidR="0052130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почти </w:t>
      </w:r>
      <w:r w:rsidRPr="008A44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взаимодействуют с традиционными учетными системами финансовых рынков. Это фрагментирует новые рынки и затрудняет работу на них, в то время как традиционные учетные системы в значительной степени интегрированы.</w:t>
      </w:r>
    </w:p>
    <w:p w:rsidR="00CD5AF3" w:rsidRPr="008A44C2" w:rsidRDefault="00CD5AF3" w:rsidP="008A0E90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Если рассматривать блокчейн не как игрушку</w:t>
      </w:r>
      <w:r w:rsidR="004E33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инноваторов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а как реальный инструмент</w:t>
      </w:r>
      <w:r w:rsidR="004E33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бизнеса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то это серьезный недостаток. Конечно, отсутствие стандартизации и механизмов интеграции разных блокчейн-с</w:t>
      </w:r>
      <w:r w:rsidR="00685058"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етей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между собой и с традиционными системами можно трактовать как «детскую болезнь». В докладе</w:t>
      </w:r>
      <w:r w:rsidR="007216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en-US"/>
        </w:rPr>
        <w:t>ISSA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2018 года</w:t>
      </w:r>
      <w:r w:rsidRPr="008A44C2">
        <w:rPr>
          <w:rStyle w:val="a6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footnoteReference w:id="4"/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убедительно показано, что без интеграции блокчейна с традиционными учетными системами </w:t>
      </w:r>
      <w:r w:rsidR="007216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ЦФА вряд ли станут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мэйнстримом финансовых рынков.</w:t>
      </w:r>
    </w:p>
    <w:p w:rsidR="008A44C2" w:rsidRDefault="00D46332" w:rsidP="008A0E9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Через какое-то время этот недостаток будет устранен, однако пока особых результатов не видно. </w:t>
      </w:r>
      <w:r w:rsidR="005213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динственным известным нам </w:t>
      </w:r>
      <w:r w:rsidR="0052130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на данный момент 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примером взаимодействия</w:t>
      </w:r>
      <w:r w:rsidR="007216D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в РФ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традиционной и блокчейн инфраструктуры является открытие счета номинального держания СД  </w:t>
      </w:r>
      <w:r w:rsidR="00253C2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«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Инфинитум</w:t>
      </w:r>
      <w:r w:rsidR="00253C2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</w:t>
      </w:r>
      <w:r w:rsidR="004E332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8A44C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 оператора информационной системы </w:t>
      </w:r>
      <w:r w:rsidR="003A5B0D" w:rsidRPr="008A44C2">
        <w:rPr>
          <w:rFonts w:ascii="Times New Roman" w:hAnsi="Times New Roman" w:cs="Times New Roman"/>
          <w:sz w:val="28"/>
          <w:szCs w:val="28"/>
        </w:rPr>
        <w:t xml:space="preserve"> «ЦФА ХАБ» 18 марта 2024 года. </w:t>
      </w:r>
      <w:r w:rsidR="008A44C2">
        <w:rPr>
          <w:rFonts w:ascii="Times New Roman" w:hAnsi="Times New Roman" w:cs="Times New Roman"/>
          <w:sz w:val="28"/>
          <w:szCs w:val="28"/>
        </w:rPr>
        <w:t xml:space="preserve">     </w:t>
      </w:r>
      <w:r w:rsidR="004E3326">
        <w:rPr>
          <w:rFonts w:ascii="Times New Roman" w:hAnsi="Times New Roman" w:cs="Times New Roman"/>
          <w:sz w:val="28"/>
          <w:szCs w:val="28"/>
        </w:rPr>
        <w:t>Подобная практика</w:t>
      </w:r>
      <w:r w:rsidR="003A5B0D" w:rsidRPr="008A44C2">
        <w:rPr>
          <w:rFonts w:ascii="Times New Roman" w:hAnsi="Times New Roman" w:cs="Times New Roman"/>
          <w:sz w:val="28"/>
          <w:szCs w:val="28"/>
        </w:rPr>
        <w:t xml:space="preserve"> может открыть  доступ на рынок ЦФА </w:t>
      </w:r>
      <w:r w:rsidR="008A44C2">
        <w:rPr>
          <w:rFonts w:ascii="Times New Roman" w:hAnsi="Times New Roman" w:cs="Times New Roman"/>
          <w:sz w:val="28"/>
          <w:szCs w:val="28"/>
        </w:rPr>
        <w:t xml:space="preserve">владельцам счетов депо </w:t>
      </w:r>
      <w:r w:rsidR="007216D8">
        <w:rPr>
          <w:rFonts w:ascii="Times New Roman" w:hAnsi="Times New Roman" w:cs="Times New Roman"/>
          <w:sz w:val="28"/>
          <w:szCs w:val="28"/>
        </w:rPr>
        <w:t>в</w:t>
      </w:r>
      <w:r w:rsidR="008A44C2">
        <w:rPr>
          <w:rFonts w:ascii="Times New Roman" w:hAnsi="Times New Roman" w:cs="Times New Roman"/>
          <w:sz w:val="28"/>
          <w:szCs w:val="28"/>
        </w:rPr>
        <w:t xml:space="preserve"> российских депозитари</w:t>
      </w:r>
      <w:r w:rsidR="007216D8">
        <w:rPr>
          <w:rFonts w:ascii="Times New Roman" w:hAnsi="Times New Roman" w:cs="Times New Roman"/>
          <w:sz w:val="28"/>
          <w:szCs w:val="28"/>
        </w:rPr>
        <w:t>ях</w:t>
      </w:r>
      <w:r w:rsidR="008A44C2">
        <w:rPr>
          <w:rFonts w:ascii="Times New Roman" w:hAnsi="Times New Roman" w:cs="Times New Roman"/>
          <w:sz w:val="28"/>
          <w:szCs w:val="28"/>
        </w:rPr>
        <w:t>. Однако, насколько им нужен такой доступ?</w:t>
      </w:r>
    </w:p>
    <w:p w:rsidR="003A5B0D" w:rsidRDefault="008A44C2" w:rsidP="008A0E90">
      <w:pPr>
        <w:pStyle w:val="a7"/>
        <w:spacing w:before="0" w:beforeAutospacing="0" w:after="120" w:afterAutospacing="0"/>
        <w:jc w:val="both"/>
        <w:textAlignment w:val="baseline"/>
        <w:rPr>
          <w:color w:val="51525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3326">
        <w:rPr>
          <w:sz w:val="28"/>
          <w:szCs w:val="28"/>
        </w:rPr>
        <w:t>Н</w:t>
      </w:r>
      <w:r w:rsidR="003A5B0D" w:rsidRPr="008A44C2">
        <w:rPr>
          <w:sz w:val="28"/>
          <w:szCs w:val="28"/>
        </w:rPr>
        <w:t xml:space="preserve">оминальный держатель по поручению </w:t>
      </w:r>
      <w:r w:rsidR="004E3326">
        <w:rPr>
          <w:sz w:val="28"/>
          <w:szCs w:val="28"/>
        </w:rPr>
        <w:t>владельца</w:t>
      </w:r>
      <w:r w:rsidR="003A5B0D" w:rsidRPr="008A44C2">
        <w:rPr>
          <w:sz w:val="28"/>
          <w:szCs w:val="28"/>
        </w:rPr>
        <w:t xml:space="preserve"> может совершать операции с ЦФА и оказывать услуги</w:t>
      </w:r>
      <w:r w:rsidR="004E3326">
        <w:rPr>
          <w:sz w:val="28"/>
          <w:szCs w:val="28"/>
        </w:rPr>
        <w:t xml:space="preserve"> их владельцам</w:t>
      </w:r>
      <w:r w:rsidR="003A5B0D" w:rsidRPr="008A44C2">
        <w:rPr>
          <w:sz w:val="28"/>
          <w:szCs w:val="28"/>
        </w:rPr>
        <w:t xml:space="preserve"> в рамках вторичного обращения</w:t>
      </w:r>
      <w:r w:rsidR="004E3326">
        <w:rPr>
          <w:sz w:val="28"/>
          <w:szCs w:val="28"/>
        </w:rPr>
        <w:t>,</w:t>
      </w:r>
      <w:r w:rsidR="003A5B0D" w:rsidRPr="008A44C2">
        <w:rPr>
          <w:sz w:val="28"/>
          <w:szCs w:val="28"/>
        </w:rPr>
        <w:t xml:space="preserve"> </w:t>
      </w:r>
      <w:r w:rsidR="00AA6723">
        <w:rPr>
          <w:sz w:val="28"/>
          <w:szCs w:val="28"/>
        </w:rPr>
        <w:t xml:space="preserve"> в том числе: </w:t>
      </w:r>
      <w:r w:rsidR="003A5B0D" w:rsidRPr="008A44C2">
        <w:rPr>
          <w:sz w:val="28"/>
          <w:szCs w:val="28"/>
        </w:rPr>
        <w:t xml:space="preserve"> учет цифровых прав, получение купонных выплат и стоимости при погашении, купля-продажа по поручениям клиентов. Также депозитарии могут самостоятельно действовать на рынке ЦФА в роли инвестора, для этого на платформе </w:t>
      </w:r>
      <w:r w:rsidR="00253C28">
        <w:rPr>
          <w:sz w:val="28"/>
          <w:szCs w:val="28"/>
        </w:rPr>
        <w:t>«</w:t>
      </w:r>
      <w:r w:rsidR="003A5B0D" w:rsidRPr="008A44C2">
        <w:rPr>
          <w:sz w:val="28"/>
          <w:szCs w:val="28"/>
        </w:rPr>
        <w:t>ЦФА ХАБ</w:t>
      </w:r>
      <w:r w:rsidR="00253C28">
        <w:rPr>
          <w:sz w:val="28"/>
          <w:szCs w:val="28"/>
        </w:rPr>
        <w:t>»</w:t>
      </w:r>
      <w:r w:rsidR="003A5B0D" w:rsidRPr="008A44C2">
        <w:rPr>
          <w:sz w:val="28"/>
          <w:szCs w:val="28"/>
        </w:rPr>
        <w:t xml:space="preserve"> реализован функционал обособленного учета  ЦФА </w:t>
      </w:r>
      <w:r w:rsidR="00AA6723">
        <w:rPr>
          <w:sz w:val="28"/>
          <w:szCs w:val="28"/>
        </w:rPr>
        <w:t xml:space="preserve">самого депозитария </w:t>
      </w:r>
      <w:r w:rsidR="003A5B0D" w:rsidRPr="008A44C2">
        <w:rPr>
          <w:sz w:val="28"/>
          <w:szCs w:val="28"/>
        </w:rPr>
        <w:t>и ЦФА</w:t>
      </w:r>
      <w:r w:rsidR="004E3326">
        <w:rPr>
          <w:sz w:val="28"/>
          <w:szCs w:val="28"/>
        </w:rPr>
        <w:t xml:space="preserve"> его</w:t>
      </w:r>
      <w:r w:rsidR="003A5B0D" w:rsidRPr="008A44C2">
        <w:rPr>
          <w:sz w:val="28"/>
          <w:szCs w:val="28"/>
        </w:rPr>
        <w:t xml:space="preserve"> клиентов с предоставлением всей необходимой отчетности</w:t>
      </w:r>
      <w:r w:rsidR="003A5B0D" w:rsidRPr="008A44C2">
        <w:rPr>
          <w:color w:val="515254"/>
          <w:sz w:val="28"/>
          <w:szCs w:val="28"/>
        </w:rPr>
        <w:t>.</w:t>
      </w:r>
    </w:p>
    <w:p w:rsidR="008A0E90" w:rsidRDefault="00AA6723" w:rsidP="008A0E90">
      <w:pPr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4134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Первая успешная сделка с ЦФА с участием номинального держателя показывает, что продвинутые операторы информационных систем по выпуску ЦФА могут обеспечить </w:t>
      </w:r>
      <w:r w:rsidRPr="00E4134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E4134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доступ профессиональных участников РЦБ и их клиентов к этому рынку</w:t>
      </w:r>
      <w:r w:rsidRPr="00E41347">
        <w:rPr>
          <w:rFonts w:ascii="Times New Roman" w:hAnsi="Times New Roman" w:cs="Times New Roman"/>
          <w:sz w:val="28"/>
          <w:szCs w:val="28"/>
        </w:rPr>
        <w:t>.</w:t>
      </w:r>
      <w:r w:rsidR="008A0E90" w:rsidRPr="00E41347">
        <w:rPr>
          <w:rFonts w:ascii="Times New Roman" w:hAnsi="Times New Roman" w:cs="Times New Roman"/>
          <w:sz w:val="28"/>
          <w:szCs w:val="28"/>
        </w:rPr>
        <w:t xml:space="preserve"> Для    обсуждения   на семинаре  остаются и  вопросы  о том, как технически обеспечивается взаимосвязь и синхронизация работы двух систем учета</w:t>
      </w:r>
      <w:r w:rsidR="008A0E90" w:rsidRPr="008A44C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A6723" w:rsidRPr="007216D8" w:rsidRDefault="00E41347" w:rsidP="008A0E90">
      <w:pPr>
        <w:pStyle w:val="a7"/>
        <w:tabs>
          <w:tab w:val="left" w:pos="9355"/>
        </w:tabs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53C28" w:rsidRDefault="00C012C6" w:rsidP="008A0E90">
      <w:pPr>
        <w:spacing w:after="12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noProof/>
          <w:lang w:eastAsia="ru-RU"/>
        </w:rPr>
        <w:lastRenderedPageBreak/>
        <w:drawing>
          <wp:inline distT="0" distB="0" distL="0" distR="0" wp14:anchorId="58696BC9" wp14:editId="5F58F30E">
            <wp:extent cx="5940425" cy="9151967"/>
            <wp:effectExtent l="0" t="0" r="3175" b="0"/>
            <wp:docPr id="1" name="Рисунок 1" descr="Источник: Ассоциация развития финансовых технолог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чник: Ассоциация развития финансовых технолог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072" w:rsidRPr="005860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41347" w:rsidRDefault="00586072" w:rsidP="00E41347">
      <w:pPr>
        <w:spacing w:after="12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1347">
        <w:rPr>
          <w:rFonts w:ascii="Times New Roman" w:hAnsi="Times New Roman" w:cs="Times New Roman"/>
          <w:sz w:val="28"/>
          <w:szCs w:val="28"/>
        </w:rPr>
        <w:t xml:space="preserve">Насколько препятствует взаимосвязи двух систем учета  то, что </w:t>
      </w:r>
      <w:r w:rsidR="00E41347" w:rsidRPr="008A44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текущее законодательство не позволяет номинальным </w:t>
      </w:r>
      <w:r w:rsidR="00E4134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E41347" w:rsidRPr="008A44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держателям участвовать</w:t>
      </w:r>
      <w:r w:rsidR="00E4134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</w:t>
      </w:r>
      <w:r w:rsidR="00E41347" w:rsidRPr="008A44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 выпусках ЦФА напрямую </w:t>
      </w:r>
      <w:r w:rsidR="00E4134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="00E41347" w:rsidRPr="008A44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запись о зачислении ЦФА по итогам состоявшегося выпуска может быть внесена только в пользу первого обладателя, но не в пользу третьего лица, действующего в его интересах</w:t>
      </w:r>
      <w:r w:rsidR="00E4134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)?</w:t>
      </w:r>
    </w:p>
    <w:p w:rsidR="007216D8" w:rsidRDefault="00E41347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16D8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86072">
        <w:rPr>
          <w:rFonts w:ascii="Times New Roman" w:hAnsi="Times New Roman" w:cs="Times New Roman"/>
          <w:sz w:val="28"/>
          <w:szCs w:val="28"/>
        </w:rPr>
        <w:t xml:space="preserve">возникает вопрос: </w:t>
      </w:r>
      <w:r w:rsidR="007216D8">
        <w:rPr>
          <w:rFonts w:ascii="Times New Roman" w:hAnsi="Times New Roman" w:cs="Times New Roman"/>
          <w:sz w:val="28"/>
          <w:szCs w:val="28"/>
        </w:rPr>
        <w:t>есть ли заинтер</w:t>
      </w:r>
      <w:r w:rsidR="00A24DB1">
        <w:rPr>
          <w:rFonts w:ascii="Times New Roman" w:hAnsi="Times New Roman" w:cs="Times New Roman"/>
          <w:sz w:val="28"/>
          <w:szCs w:val="28"/>
        </w:rPr>
        <w:t>е</w:t>
      </w:r>
      <w:r w:rsidR="007216D8">
        <w:rPr>
          <w:rFonts w:ascii="Times New Roman" w:hAnsi="Times New Roman" w:cs="Times New Roman"/>
          <w:sz w:val="28"/>
          <w:szCs w:val="28"/>
        </w:rPr>
        <w:t>сованность участн</w:t>
      </w:r>
      <w:r w:rsidR="00A24DB1">
        <w:rPr>
          <w:rFonts w:ascii="Times New Roman" w:hAnsi="Times New Roman" w:cs="Times New Roman"/>
          <w:sz w:val="28"/>
          <w:szCs w:val="28"/>
        </w:rPr>
        <w:t>и</w:t>
      </w:r>
      <w:r w:rsidR="007216D8">
        <w:rPr>
          <w:rFonts w:ascii="Times New Roman" w:hAnsi="Times New Roman" w:cs="Times New Roman"/>
          <w:sz w:val="28"/>
          <w:szCs w:val="28"/>
        </w:rPr>
        <w:t>ков</w:t>
      </w:r>
      <w:r w:rsidR="00A24DB1">
        <w:rPr>
          <w:rFonts w:ascii="Times New Roman" w:hAnsi="Times New Roman" w:cs="Times New Roman"/>
          <w:sz w:val="28"/>
          <w:szCs w:val="28"/>
        </w:rPr>
        <w:t xml:space="preserve"> классического финансового рынка</w:t>
      </w:r>
      <w:r w:rsidR="007216D8">
        <w:rPr>
          <w:rFonts w:ascii="Times New Roman" w:hAnsi="Times New Roman" w:cs="Times New Roman"/>
          <w:sz w:val="28"/>
          <w:szCs w:val="28"/>
        </w:rPr>
        <w:t xml:space="preserve"> в обратном процессе:  формировании цифровых «аватаров» существующих инструментов финансового рынка и их параллельном обращении в тра</w:t>
      </w:r>
      <w:r w:rsidR="00A24DB1">
        <w:rPr>
          <w:rFonts w:ascii="Times New Roman" w:hAnsi="Times New Roman" w:cs="Times New Roman"/>
          <w:sz w:val="28"/>
          <w:szCs w:val="28"/>
        </w:rPr>
        <w:t>д</w:t>
      </w:r>
      <w:r w:rsidR="007216D8">
        <w:rPr>
          <w:rFonts w:ascii="Times New Roman" w:hAnsi="Times New Roman" w:cs="Times New Roman"/>
          <w:sz w:val="28"/>
          <w:szCs w:val="28"/>
        </w:rPr>
        <w:t>иционной и блокчейнизированных системах учета и обмена</w:t>
      </w:r>
      <w:r w:rsidR="00A24DB1">
        <w:rPr>
          <w:rFonts w:ascii="Times New Roman" w:hAnsi="Times New Roman" w:cs="Times New Roman"/>
          <w:sz w:val="28"/>
          <w:szCs w:val="28"/>
        </w:rPr>
        <w:t>, что породит соответствующий арбитраж?</w:t>
      </w:r>
    </w:p>
    <w:p w:rsidR="00E41181" w:rsidRDefault="00E41181" w:rsidP="00E4134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347" w:rsidRPr="00E41347" w:rsidRDefault="00E41347" w:rsidP="00E41347">
      <w:pPr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</w:t>
      </w:r>
      <w:r w:rsidRPr="00E41347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15.00 -1</w:t>
      </w: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8</w:t>
      </w:r>
      <w:r w:rsidRPr="00E41347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.00</w:t>
      </w: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 xml:space="preserve">   Дискуссии на полях семинара по тематике первого дня</w:t>
      </w:r>
    </w:p>
    <w:p w:rsidR="00E41347" w:rsidRDefault="00E41347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347" w:rsidRPr="00E41347" w:rsidRDefault="00AA6723" w:rsidP="00E4134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254">
        <w:rPr>
          <w:rFonts w:ascii="Times New Roman" w:hAnsi="Times New Roman" w:cs="Times New Roman"/>
          <w:sz w:val="28"/>
          <w:szCs w:val="28"/>
        </w:rPr>
        <w:t xml:space="preserve">   </w:t>
      </w:r>
      <w:r w:rsidR="008A0E90">
        <w:rPr>
          <w:rFonts w:ascii="Times New Roman" w:hAnsi="Times New Roman" w:cs="Times New Roman"/>
          <w:sz w:val="28"/>
          <w:szCs w:val="28"/>
        </w:rPr>
        <w:t xml:space="preserve"> </w:t>
      </w:r>
      <w:r w:rsidR="00E41347" w:rsidRPr="00E41347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20</w:t>
      </w:r>
      <w:r w:rsidR="00E41347" w:rsidRPr="00E41347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 xml:space="preserve"> апреля</w:t>
      </w:r>
    </w:p>
    <w:p w:rsidR="00E41347" w:rsidRDefault="00E41347" w:rsidP="00E4134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E41347" w:rsidRPr="00E41347" w:rsidRDefault="00E41347" w:rsidP="00E4134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10.00- 1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1</w:t>
      </w: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3</w:t>
      </w: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0 </w:t>
      </w:r>
    </w:p>
    <w:p w:rsidR="00E41347" w:rsidRDefault="00E41347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DE9" w:rsidRPr="00CC538C" w:rsidRDefault="00E41347" w:rsidP="008A0E9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0E90">
        <w:rPr>
          <w:rFonts w:ascii="Times New Roman" w:hAnsi="Times New Roman" w:cs="Times New Roman"/>
          <w:sz w:val="28"/>
          <w:szCs w:val="28"/>
        </w:rPr>
        <w:t xml:space="preserve"> </w:t>
      </w:r>
      <w:r w:rsidR="00CC538C" w:rsidRPr="00CC538C">
        <w:rPr>
          <w:rFonts w:ascii="Times New Roman" w:hAnsi="Times New Roman" w:cs="Times New Roman"/>
          <w:b/>
          <w:i/>
          <w:sz w:val="28"/>
          <w:szCs w:val="28"/>
        </w:rPr>
        <w:t xml:space="preserve">Проект создания Базы данных </w:t>
      </w:r>
      <w:r w:rsidR="00CC538C">
        <w:rPr>
          <w:rFonts w:ascii="Times New Roman" w:hAnsi="Times New Roman" w:cs="Times New Roman"/>
          <w:b/>
          <w:i/>
          <w:sz w:val="28"/>
          <w:szCs w:val="28"/>
        </w:rPr>
        <w:t>некоторых категорий физических</w:t>
      </w:r>
      <w:r w:rsidR="00CC538C" w:rsidRPr="00CC538C">
        <w:rPr>
          <w:rFonts w:ascii="Times New Roman" w:hAnsi="Times New Roman" w:cs="Times New Roman"/>
          <w:b/>
          <w:i/>
          <w:sz w:val="28"/>
          <w:szCs w:val="28"/>
        </w:rPr>
        <w:t xml:space="preserve">  лиц в сети БлокНод</w:t>
      </w:r>
      <w:r w:rsidR="00D566AE">
        <w:rPr>
          <w:rFonts w:ascii="Times New Roman" w:hAnsi="Times New Roman" w:cs="Times New Roman"/>
          <w:b/>
          <w:i/>
          <w:sz w:val="28"/>
          <w:szCs w:val="28"/>
        </w:rPr>
        <w:t xml:space="preserve"> (БД)</w:t>
      </w:r>
      <w:r w:rsidR="00CC538C" w:rsidRPr="00CC5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538C">
        <w:rPr>
          <w:rFonts w:ascii="Times New Roman" w:hAnsi="Times New Roman" w:cs="Times New Roman"/>
          <w:b/>
          <w:i/>
          <w:sz w:val="28"/>
          <w:szCs w:val="28"/>
        </w:rPr>
        <w:t>и новый стандарт Банка России</w:t>
      </w:r>
      <w:r w:rsidR="007216D8" w:rsidRPr="007216D8">
        <w:t xml:space="preserve"> </w:t>
      </w:r>
      <w:r w:rsidR="007216D8" w:rsidRPr="007216D8">
        <w:rPr>
          <w:rFonts w:ascii="Times New Roman" w:hAnsi="Times New Roman" w:cs="Times New Roman"/>
          <w:b/>
          <w:i/>
          <w:sz w:val="24"/>
          <w:szCs w:val="24"/>
        </w:rPr>
        <w:t>СТО БР БФБО-1.8-2024</w:t>
      </w:r>
    </w:p>
    <w:p w:rsidR="00256DE9" w:rsidRDefault="00CC538C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D4254" w:rsidRDefault="00256DE9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4254">
        <w:rPr>
          <w:rFonts w:ascii="Times New Roman" w:hAnsi="Times New Roman" w:cs="Times New Roman"/>
          <w:sz w:val="28"/>
          <w:szCs w:val="28"/>
        </w:rPr>
        <w:t xml:space="preserve">Если БД в рамках проекта БлокНод призвана расширить информацию о специфике конкретного физического лица для надлежащей работы с ним клиентского подразделения профессионального участника рынка,  о чем будет рассказано в презентации ПАРТАД, то рекомендательный  стандарт Банка России  отражает усложняющийся подход регулятора </w:t>
      </w:r>
      <w:r w:rsidR="00DF2E40">
        <w:rPr>
          <w:rFonts w:ascii="Times New Roman" w:hAnsi="Times New Roman" w:cs="Times New Roman"/>
          <w:sz w:val="28"/>
          <w:szCs w:val="28"/>
        </w:rPr>
        <w:t xml:space="preserve">к </w:t>
      </w:r>
      <w:r w:rsidR="001D4254">
        <w:rPr>
          <w:rFonts w:ascii="Times New Roman" w:hAnsi="Times New Roman" w:cs="Times New Roman"/>
          <w:sz w:val="28"/>
          <w:szCs w:val="28"/>
        </w:rPr>
        <w:t xml:space="preserve"> дистанционной идентификации и аутенфикации клиента финансовой организации</w:t>
      </w:r>
    </w:p>
    <w:p w:rsidR="00601CAB" w:rsidRPr="008A44C2" w:rsidRDefault="001D4254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6DE9">
        <w:rPr>
          <w:rFonts w:ascii="Times New Roman" w:hAnsi="Times New Roman" w:cs="Times New Roman"/>
          <w:sz w:val="28"/>
          <w:szCs w:val="28"/>
        </w:rPr>
        <w:t xml:space="preserve"> </w:t>
      </w:r>
      <w:r w:rsidR="00586072">
        <w:rPr>
          <w:rFonts w:ascii="Times New Roman" w:hAnsi="Times New Roman" w:cs="Times New Roman"/>
          <w:sz w:val="28"/>
          <w:szCs w:val="28"/>
        </w:rPr>
        <w:t>С</w:t>
      </w:r>
      <w:r w:rsidR="001A1674" w:rsidRPr="008A44C2">
        <w:rPr>
          <w:rFonts w:ascii="Times New Roman" w:hAnsi="Times New Roman" w:cs="Times New Roman"/>
          <w:sz w:val="28"/>
          <w:szCs w:val="28"/>
        </w:rPr>
        <w:t xml:space="preserve">тандарт </w:t>
      </w:r>
      <w:r w:rsidR="00586072" w:rsidRPr="00586072">
        <w:rPr>
          <w:rFonts w:ascii="Times New Roman" w:hAnsi="Times New Roman" w:cs="Times New Roman"/>
          <w:sz w:val="24"/>
          <w:szCs w:val="24"/>
        </w:rPr>
        <w:t>СТО БР БФБО-1.8-2024</w:t>
      </w:r>
      <w:r w:rsidR="005860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1674" w:rsidRPr="008A44C2">
        <w:rPr>
          <w:rFonts w:ascii="Times New Roman" w:hAnsi="Times New Roman" w:cs="Times New Roman"/>
          <w:sz w:val="28"/>
          <w:szCs w:val="28"/>
        </w:rPr>
        <w:t xml:space="preserve">определяет состав и содержание мер защиты информации для обеспечения доверия к 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удаленной </w:t>
      </w:r>
      <w:r w:rsidR="001A1674" w:rsidRPr="008A44C2">
        <w:rPr>
          <w:rFonts w:ascii="Times New Roman" w:hAnsi="Times New Roman" w:cs="Times New Roman"/>
          <w:sz w:val="28"/>
          <w:szCs w:val="28"/>
        </w:rPr>
        <w:t>идентификации и аутентификации получателей услуг при осуществлении финансовых операций. Уровень доверия идентификации и аутентификации определяется степенью уверенности в результатах идентификации и степенью уверенности в результатах аутентификации</w:t>
      </w:r>
    </w:p>
    <w:p w:rsidR="001A1674" w:rsidRPr="008A44C2" w:rsidRDefault="00AA6723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1674" w:rsidRPr="008A44C2">
        <w:rPr>
          <w:rFonts w:ascii="Times New Roman" w:hAnsi="Times New Roman" w:cs="Times New Roman"/>
          <w:sz w:val="28"/>
          <w:szCs w:val="28"/>
        </w:rPr>
        <w:t>Финансовые организации должны учитывать при разработке модели угроз безопасности информации в отношении технологических процессов, реализующих финансовые операции, угрозы безопасности процессов идентификации и аутентификации. Для нейтрализации выявленных угроз финансовые организации должны обеспечивать реализацию мер защиты информации, установленных настоящим стандартом.</w:t>
      </w:r>
    </w:p>
    <w:p w:rsidR="00AA6723" w:rsidRDefault="00AA6723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A1674" w:rsidRPr="008A44C2">
        <w:rPr>
          <w:rFonts w:ascii="Times New Roman" w:hAnsi="Times New Roman" w:cs="Times New Roman"/>
          <w:sz w:val="28"/>
          <w:szCs w:val="28"/>
        </w:rPr>
        <w:t xml:space="preserve">В случае если конкретная мера защиты информации является неактуальной в рамках конкретного технологического процесса, финансовая организация должна во внутренних документах обосновать неактуальность данной меры защиты информации. Обоснование применения компенсирующих мер защиты информации или неактуальности мер защиты информации должно в том числе содержать: </w:t>
      </w:r>
    </w:p>
    <w:p w:rsidR="00AA6723" w:rsidRDefault="001A1674" w:rsidP="008A0E9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 xml:space="preserve">• наименование технологического процесса, реализующего финансовые операции; </w:t>
      </w:r>
    </w:p>
    <w:p w:rsidR="001D4254" w:rsidRDefault="001A1674" w:rsidP="008A0E9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 xml:space="preserve">• описание неприменяемой или неактуальной меры защиты информации; </w:t>
      </w:r>
    </w:p>
    <w:p w:rsidR="00AA6723" w:rsidRDefault="001A1674" w:rsidP="008A0E9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>• перечень угроз безопасности информации, которые нейтрализует данная мера защиты информации;</w:t>
      </w:r>
    </w:p>
    <w:p w:rsidR="00AA6723" w:rsidRDefault="001A1674" w:rsidP="008A0E9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>• отсылку (выписку) на модель угроз безопасности информации технологических процессов, реализующих финансовые операции, подтверждающую актуальность или неактуальность данных угроз для технологического процесса;</w:t>
      </w:r>
    </w:p>
    <w:p w:rsidR="001A1674" w:rsidRDefault="001A1674" w:rsidP="008A0E9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44C2">
        <w:rPr>
          <w:rFonts w:ascii="Times New Roman" w:hAnsi="Times New Roman" w:cs="Times New Roman"/>
          <w:sz w:val="28"/>
          <w:szCs w:val="28"/>
        </w:rPr>
        <w:t xml:space="preserve"> • для обоснования применения компенсирующих мер защиты информации – перечень и описание компенсирующих мер защиты информации, содержащее в том числе подтверждение факта нейтрализации угроз безопасности информации для технологического процесса, которые были определены для неприменяемой меры защиты информации</w:t>
      </w:r>
      <w:r w:rsidR="001D4254">
        <w:rPr>
          <w:rFonts w:ascii="Times New Roman" w:hAnsi="Times New Roman" w:cs="Times New Roman"/>
          <w:sz w:val="28"/>
          <w:szCs w:val="28"/>
        </w:rPr>
        <w:t>.</w:t>
      </w:r>
    </w:p>
    <w:p w:rsidR="001D4254" w:rsidRDefault="00DF2E40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Указанные подходы Банка России в некотор</w:t>
      </w:r>
      <w:r w:rsidR="008F67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смысле</w:t>
      </w:r>
      <w:r w:rsidR="008F6757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 учтены в БД проекта БлокНод, так она предполагает в рамках процесса идентификации лица включенного в   БД  использование определенного перечня идентификаторов, обеспечивающих разную степень уверенности в том, что финансовая организация имеет дело именно с тем лицом, информация об особенностях которого внесена в </w:t>
      </w:r>
      <w:r w:rsidR="008F6757">
        <w:rPr>
          <w:rFonts w:ascii="Times New Roman" w:hAnsi="Times New Roman" w:cs="Times New Roman"/>
          <w:sz w:val="28"/>
          <w:szCs w:val="28"/>
        </w:rPr>
        <w:t>БД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757" w:rsidRDefault="008F6757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семинаре предлагается обсудить вопросы применения БД проекта Блок Нод и  направления учета в среднесрочной перспективе рекомендаций стандарта </w:t>
      </w:r>
      <w:r w:rsidRPr="008F6757">
        <w:rPr>
          <w:rFonts w:ascii="Times New Roman" w:hAnsi="Times New Roman" w:cs="Times New Roman"/>
          <w:sz w:val="24"/>
          <w:szCs w:val="24"/>
        </w:rPr>
        <w:t>СТО БР БФБО-1.8-2024.</w:t>
      </w:r>
      <w:r w:rsidRPr="008F6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E39" w:rsidRDefault="00E71E39" w:rsidP="008A0E9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347" w:rsidRPr="00E41347" w:rsidRDefault="00E41347" w:rsidP="008A0E90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1347">
        <w:rPr>
          <w:rFonts w:ascii="Times New Roman" w:hAnsi="Times New Roman" w:cs="Times New Roman"/>
          <w:b/>
          <w:i/>
          <w:color w:val="7030A0"/>
          <w:sz w:val="28"/>
          <w:szCs w:val="28"/>
        </w:rPr>
        <w:t>12.00 -14.00</w:t>
      </w:r>
    </w:p>
    <w:p w:rsidR="00E41347" w:rsidRDefault="00E71E39" w:rsidP="008A0E90">
      <w:pPr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E71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  </w:t>
      </w:r>
    </w:p>
    <w:p w:rsidR="00E71E39" w:rsidRPr="008A0E90" w:rsidRDefault="00E41347" w:rsidP="008A0E90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  </w:t>
      </w:r>
      <w:r w:rsidR="00E71E39" w:rsidRPr="008A0E9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Новые подходы к управлению рисками в цифровую эпоху</w:t>
      </w:r>
      <w:r w:rsidR="00E71E39" w:rsidRPr="008A0E9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E71E39" w:rsidRDefault="00E71E39" w:rsidP="008A0E9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новых 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экономических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условиях необходимо дать инфраструктуре </w:t>
      </w:r>
      <w:r w:rsidRPr="00E7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1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РЦБ и ЦФА </w:t>
      </w:r>
      <w:r w:rsidRPr="00E7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гибкий и комплексный инструмент, с помощью которого можно повысить качество принятия решений, скорость коммуникаций между подразделениями и сократить затраты на управление рисками.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E7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8A0E90" w:rsidRDefault="00C97EA3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многие инфраструктурные институты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уделять больше внимания рискам и потерям. При этом зрелость процессов и риск-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культура </w:t>
      </w:r>
      <w:r w:rsidR="00E71E39" w:rsidRPr="00C97E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ряде </w:t>
      </w:r>
      <w:r w:rsidR="00E71E39">
        <w:t> 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выросли.   Соответственно, появилась потребность в более качественном риск-менеджменте и, как следствие, в автоматизированном инструменте по управлению   рисками.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A0E90" w:rsidRDefault="008A0E90" w:rsidP="008A0E90">
      <w:pPr>
        <w:pStyle w:val="ae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исходить из того,  что 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 управления рисками должен быть сквозным   для всего инфраструктурного института: свои время и ресурсы тратят не только 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ответственные за организацию управления рисками специалисты/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работники профильного отдела, но и другие бизнес-подразделения, а также топ-менеджмент. Ресурс расходуется из-за того, что приходится агрегировать данные из разных источников, коммуницировать по нескольким каналам и отвечать на одни и те же вопросы разных сотрудников. Отсутствие единого информационного пространства и автоматизированных инструментов увеличивает нагрузку на бизнес.</w:t>
      </w:r>
      <w:r w:rsidR="00E71E39" w:rsidRPr="00C97EA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97EA3" w:rsidRDefault="00E71E39" w:rsidP="008A0E90">
      <w:pPr>
        <w:pStyle w:val="ae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Концепция GRC позволяет рассматривать люб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организацию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трех 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точек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зрения:</w:t>
      </w:r>
      <w:r w:rsidRPr="00C97E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- руководства (</w:t>
      </w:r>
      <w:r w:rsidRPr="00C97E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Governance)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97E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- управления рисками (</w:t>
      </w:r>
      <w:r w:rsidRPr="00C97E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Risk management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C97E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- соответствия внешним регуляторным требованиям и внутренним регламентам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97E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Compliance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97E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Для эффективного взаимодействия этих элементов они </w:t>
      </w:r>
      <w:r w:rsidR="00C97EA3"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</w:t>
      </w:r>
      <w:r w:rsid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97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собраны на единой IT-платформе.</w:t>
      </w:r>
      <w:r w:rsidR="00B61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Насколько в этом заинтересованы участники семинара?</w:t>
      </w:r>
    </w:p>
    <w:p w:rsidR="00C97EA3" w:rsidRDefault="00C97EA3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4C2" w:rsidRDefault="00B610FE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то же время, к</w:t>
      </w:r>
      <w:r w:rsidR="00C97EA3" w:rsidRPr="008A4D08">
        <w:rPr>
          <w:rFonts w:ascii="Times New Roman" w:hAnsi="Times New Roman" w:cs="Times New Roman"/>
          <w:color w:val="000000"/>
          <w:sz w:val="28"/>
          <w:szCs w:val="28"/>
        </w:rPr>
        <w:t>лассический элемент управления рисками, - страхование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97EA3" w:rsidRPr="008A4D08">
        <w:rPr>
          <w:rFonts w:ascii="Times New Roman" w:hAnsi="Times New Roman" w:cs="Times New Roman"/>
          <w:color w:val="000000"/>
          <w:sz w:val="28"/>
          <w:szCs w:val="28"/>
        </w:rPr>
        <w:t xml:space="preserve"> – должен распространить свою защит</w:t>
      </w:r>
      <w:r w:rsidR="007A23B1" w:rsidRPr="008A4D0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97EA3" w:rsidRPr="008A4D08">
        <w:rPr>
          <w:rFonts w:ascii="Times New Roman" w:hAnsi="Times New Roman" w:cs="Times New Roman"/>
          <w:color w:val="000000"/>
          <w:sz w:val="28"/>
          <w:szCs w:val="28"/>
        </w:rPr>
        <w:t xml:space="preserve"> и на новые аспе</w:t>
      </w:r>
      <w:r w:rsidR="007A23B1" w:rsidRPr="008A4D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97EA3" w:rsidRPr="008A4D08">
        <w:rPr>
          <w:rFonts w:ascii="Times New Roman" w:hAnsi="Times New Roman" w:cs="Times New Roman"/>
          <w:color w:val="000000"/>
          <w:sz w:val="28"/>
          <w:szCs w:val="28"/>
        </w:rPr>
        <w:t>ты деятельности учетных институтов в качестве операторов инвестиционных и иных цифровых платформ.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 xml:space="preserve"> </w:t>
      </w:r>
      <w:r w:rsid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 xml:space="preserve">Например, 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 xml:space="preserve">Банк России планирует сформировать условия для создания института страхования киберрисков и предоставить расширенный перечень данных внешним пользователям для формирования моделей страхования, говорится в материале </w:t>
      </w:r>
      <w:r w:rsid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 xml:space="preserve">регулятора 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"Основные направления развития информационной безопасности кредитно-финансовой сферы</w:t>
      </w:r>
      <w:r>
        <w:t> 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 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период</w:t>
      </w:r>
      <w:r w:rsid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 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2023-</w:t>
      </w:r>
      <w:r w:rsidR="008A4D08" w:rsidRPr="008A4D08">
        <w:rPr>
          <w:rFonts w:ascii="Times New Roman" w:hAnsi="Times New Roman" w:cs="Times New Roman"/>
          <w:sz w:val="28"/>
          <w:szCs w:val="28"/>
        </w:rPr>
        <w:t>2025годов</w:t>
      </w:r>
      <w:r w:rsidR="008A4D08" w:rsidRPr="008A4D08"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202736"/>
          <w:sz w:val="28"/>
          <w:szCs w:val="28"/>
          <w:shd w:val="clear" w:color="auto" w:fill="FFFFFF"/>
        </w:rPr>
        <w:t xml:space="preserve">. Каковы в этом смысле планы ведущего страховщика учетных институтов и страхователей? </w:t>
      </w:r>
      <w:r w:rsidR="00E71E39" w:rsidRPr="008A4D0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41347" w:rsidRPr="00E41347" w:rsidRDefault="00E41347" w:rsidP="00E41347">
      <w:pPr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</w:t>
      </w:r>
      <w:r w:rsidRPr="00E41347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15.00 -1</w:t>
      </w: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8</w:t>
      </w:r>
      <w:r w:rsidRPr="00E41347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.00</w:t>
      </w: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 xml:space="preserve">   Дискуссии на полях семинара по тематике </w:t>
      </w: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>второго</w:t>
      </w:r>
      <w:r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</w:rPr>
        <w:t xml:space="preserve"> дня</w:t>
      </w:r>
    </w:p>
    <w:p w:rsidR="00E41347" w:rsidRDefault="00E41347" w:rsidP="00E4134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347" w:rsidRDefault="00E41347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94FDD" w:rsidRDefault="00A94FDD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94FDD" w:rsidRDefault="00A94FDD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94FDD">
        <w:rPr>
          <w:rFonts w:ascii="Times New Roman" w:hAnsi="Times New Roman" w:cs="Times New Roman"/>
          <w:b/>
          <w:color w:val="7030A0"/>
          <w:sz w:val="28"/>
          <w:szCs w:val="28"/>
        </w:rPr>
        <w:t>Модераторы дискуссий на семинаре:</w:t>
      </w:r>
    </w:p>
    <w:p w:rsidR="00A94FDD" w:rsidRDefault="00A94FDD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94FDD" w:rsidRPr="00A94FDD" w:rsidRDefault="00A94FDD" w:rsidP="008A0E90">
      <w:pPr>
        <w:pStyle w:val="ae"/>
        <w:spacing w:after="120" w:line="240" w:lineRule="auto"/>
        <w:ind w:left="0" w:firstLine="56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94FD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П.М.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A94FDD">
        <w:rPr>
          <w:rFonts w:ascii="Times New Roman" w:hAnsi="Times New Roman" w:cs="Times New Roman"/>
          <w:b/>
          <w:color w:val="7030A0"/>
          <w:sz w:val="28"/>
          <w:szCs w:val="28"/>
        </w:rPr>
        <w:t>Лансков, д.э.н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bookmarkStart w:id="0" w:name="_GoBack"/>
      <w:bookmarkEnd w:id="0"/>
      <w:r w:rsidRPr="00A94FDD">
        <w:rPr>
          <w:rFonts w:ascii="Times New Roman" w:hAnsi="Times New Roman" w:cs="Times New Roman"/>
          <w:b/>
          <w:color w:val="7030A0"/>
          <w:sz w:val="28"/>
          <w:szCs w:val="28"/>
        </w:rPr>
        <w:t>,  Б.В.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A94FDD">
        <w:rPr>
          <w:rFonts w:ascii="Times New Roman" w:hAnsi="Times New Roman" w:cs="Times New Roman"/>
          <w:b/>
          <w:color w:val="7030A0"/>
          <w:sz w:val="28"/>
          <w:szCs w:val="28"/>
        </w:rPr>
        <w:t>Черкасский,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A94FDD">
        <w:rPr>
          <w:rFonts w:ascii="Times New Roman" w:hAnsi="Times New Roman" w:cs="Times New Roman"/>
          <w:b/>
          <w:color w:val="7030A0"/>
          <w:sz w:val="28"/>
          <w:szCs w:val="28"/>
        </w:rPr>
        <w:t>к.ф.-м.н.</w:t>
      </w:r>
    </w:p>
    <w:sectPr w:rsidR="00A94FDD" w:rsidRPr="00A94FD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F3" w:rsidRDefault="00CD5AF3" w:rsidP="00CD5AF3">
      <w:pPr>
        <w:spacing w:after="0" w:line="240" w:lineRule="auto"/>
      </w:pPr>
      <w:r>
        <w:separator/>
      </w:r>
    </w:p>
  </w:endnote>
  <w:endnote w:type="continuationSeparator" w:id="0">
    <w:p w:rsidR="00CD5AF3" w:rsidRDefault="00CD5AF3" w:rsidP="00CD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5534"/>
      <w:docPartObj>
        <w:docPartGallery w:val="Page Numbers (Bottom of Page)"/>
        <w:docPartUnique/>
      </w:docPartObj>
    </w:sdtPr>
    <w:sdtEndPr/>
    <w:sdtContent>
      <w:p w:rsidR="00A8406B" w:rsidRDefault="00A8406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195">
          <w:rPr>
            <w:noProof/>
          </w:rPr>
          <w:t>6</w:t>
        </w:r>
        <w:r>
          <w:fldChar w:fldCharType="end"/>
        </w:r>
      </w:p>
    </w:sdtContent>
  </w:sdt>
  <w:p w:rsidR="00586072" w:rsidRDefault="005860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F3" w:rsidRDefault="00CD5AF3" w:rsidP="00CD5AF3">
      <w:pPr>
        <w:spacing w:after="0" w:line="240" w:lineRule="auto"/>
      </w:pPr>
      <w:r>
        <w:separator/>
      </w:r>
    </w:p>
  </w:footnote>
  <w:footnote w:type="continuationSeparator" w:id="0">
    <w:p w:rsidR="00CD5AF3" w:rsidRDefault="00CD5AF3" w:rsidP="00CD5AF3">
      <w:pPr>
        <w:spacing w:after="0" w:line="240" w:lineRule="auto"/>
      </w:pPr>
      <w:r>
        <w:continuationSeparator/>
      </w:r>
    </w:p>
  </w:footnote>
  <w:footnote w:id="1">
    <w:p w:rsidR="00F85AA2" w:rsidRDefault="00F85AA2" w:rsidP="00F85AA2">
      <w:pPr>
        <w:pStyle w:val="a4"/>
      </w:pPr>
      <w:r>
        <w:rPr>
          <w:rStyle w:val="a6"/>
        </w:rPr>
        <w:footnoteRef/>
      </w:r>
      <w:r>
        <w:t xml:space="preserve"> В участие в дискуссиях в формате круглых столов предполагается вовлечь всех участн</w:t>
      </w:r>
      <w:r w:rsidR="00A94FDD">
        <w:t>и</w:t>
      </w:r>
      <w:r>
        <w:t>ков семинара</w:t>
      </w:r>
    </w:p>
  </w:footnote>
  <w:footnote w:id="2">
    <w:p w:rsidR="00CD5AF3" w:rsidRPr="00566325" w:rsidRDefault="00CD5AF3" w:rsidP="00CD5AF3">
      <w:pPr>
        <w:pStyle w:val="a4"/>
        <w:rPr>
          <w:rFonts w:ascii="Arial" w:hAnsi="Arial" w:cs="Arial"/>
        </w:rPr>
      </w:pPr>
      <w:r w:rsidRPr="00566325">
        <w:rPr>
          <w:rStyle w:val="a6"/>
          <w:rFonts w:ascii="Arial" w:hAnsi="Arial" w:cs="Arial"/>
        </w:rPr>
        <w:footnoteRef/>
      </w:r>
      <w:r w:rsidRPr="00566325">
        <w:rPr>
          <w:rFonts w:ascii="Arial" w:hAnsi="Arial" w:cs="Arial"/>
        </w:rPr>
        <w:t xml:space="preserve"> </w:t>
      </w:r>
      <w:hyperlink r:id="rId1" w:history="1">
        <w:r w:rsidRPr="00F6686E">
          <w:rPr>
            <w:rStyle w:val="a3"/>
            <w:rFonts w:ascii="Arial" w:hAnsi="Arial" w:cs="Arial"/>
            <w:lang w:val="en-US"/>
          </w:rPr>
          <w:t>http</w:t>
        </w:r>
        <w:r w:rsidRPr="00566325">
          <w:rPr>
            <w:rStyle w:val="a3"/>
            <w:rFonts w:ascii="Arial" w:hAnsi="Arial" w:cs="Arial"/>
          </w:rPr>
          <w:t>://</w:t>
        </w:r>
        <w:r w:rsidRPr="00F6686E">
          <w:rPr>
            <w:rStyle w:val="a3"/>
            <w:rFonts w:ascii="Arial" w:hAnsi="Arial" w:cs="Arial"/>
            <w:lang w:val="en-US"/>
          </w:rPr>
          <w:t>partad</w:t>
        </w:r>
        <w:r w:rsidRPr="00566325">
          <w:rPr>
            <w:rStyle w:val="a3"/>
            <w:rFonts w:ascii="Arial" w:hAnsi="Arial" w:cs="Arial"/>
          </w:rPr>
          <w:t>.</w:t>
        </w:r>
        <w:r w:rsidRPr="00F6686E">
          <w:rPr>
            <w:rStyle w:val="a3"/>
            <w:rFonts w:ascii="Arial" w:hAnsi="Arial" w:cs="Arial"/>
            <w:lang w:val="en-US"/>
          </w:rPr>
          <w:t>ru</w:t>
        </w:r>
        <w:r w:rsidRPr="00566325">
          <w:rPr>
            <w:rStyle w:val="a3"/>
            <w:rFonts w:ascii="Arial" w:hAnsi="Arial" w:cs="Arial"/>
          </w:rPr>
          <w:t>/</w:t>
        </w:r>
        <w:r w:rsidRPr="00F6686E">
          <w:rPr>
            <w:rStyle w:val="a3"/>
            <w:rFonts w:ascii="Arial" w:hAnsi="Arial" w:cs="Arial"/>
            <w:lang w:val="en-US"/>
          </w:rPr>
          <w:t>UploadFiles</w:t>
        </w:r>
        <w:r w:rsidRPr="00566325">
          <w:rPr>
            <w:rStyle w:val="a3"/>
            <w:rFonts w:ascii="Arial" w:hAnsi="Arial" w:cs="Arial"/>
          </w:rPr>
          <w:t>/</w:t>
        </w:r>
        <w:r w:rsidRPr="00F6686E">
          <w:rPr>
            <w:rStyle w:val="a3"/>
            <w:rFonts w:ascii="Arial" w:hAnsi="Arial" w:cs="Arial"/>
            <w:lang w:val="en-US"/>
          </w:rPr>
          <w:t>GetUploadedPdfFile</w:t>
        </w:r>
        <w:r w:rsidRPr="00566325">
          <w:rPr>
            <w:rStyle w:val="a3"/>
            <w:rFonts w:ascii="Arial" w:hAnsi="Arial" w:cs="Arial"/>
          </w:rPr>
          <w:t>?</w:t>
        </w:r>
        <w:r w:rsidRPr="00F6686E">
          <w:rPr>
            <w:rStyle w:val="a3"/>
            <w:rFonts w:ascii="Arial" w:hAnsi="Arial" w:cs="Arial"/>
            <w:lang w:val="en-US"/>
          </w:rPr>
          <w:t>uploadFileId</w:t>
        </w:r>
        <w:r w:rsidRPr="00566325">
          <w:rPr>
            <w:rStyle w:val="a3"/>
            <w:rFonts w:ascii="Arial" w:hAnsi="Arial" w:cs="Arial"/>
          </w:rPr>
          <w:t>=1515</w:t>
        </w:r>
      </w:hyperlink>
      <w:r>
        <w:rPr>
          <w:rFonts w:ascii="Arial" w:hAnsi="Arial" w:cs="Arial"/>
        </w:rPr>
        <w:t xml:space="preserve"> </w:t>
      </w:r>
    </w:p>
  </w:footnote>
  <w:footnote w:id="3">
    <w:p w:rsidR="00CD5AF3" w:rsidRPr="006A69FC" w:rsidRDefault="00CD5AF3" w:rsidP="00CD5AF3">
      <w:pPr>
        <w:pStyle w:val="a4"/>
        <w:rPr>
          <w:rFonts w:ascii="Arial" w:hAnsi="Arial" w:cs="Arial"/>
        </w:rPr>
      </w:pPr>
      <w:r w:rsidRPr="006A69FC">
        <w:rPr>
          <w:rStyle w:val="a6"/>
          <w:rFonts w:ascii="Arial" w:hAnsi="Arial" w:cs="Arial"/>
        </w:rPr>
        <w:footnoteRef/>
      </w:r>
      <w:r w:rsidRPr="006A69FC">
        <w:rPr>
          <w:rFonts w:ascii="Arial" w:hAnsi="Arial" w:cs="Arial"/>
        </w:rPr>
        <w:t xml:space="preserve"> Так</w:t>
      </w:r>
      <w:r>
        <w:rPr>
          <w:rFonts w:ascii="Arial" w:hAnsi="Arial" w:cs="Arial"/>
        </w:rPr>
        <w:t xml:space="preserve"> в проекте создания азиатского расчетного депозитария </w:t>
      </w:r>
      <w:r>
        <w:rPr>
          <w:rFonts w:ascii="Arial" w:hAnsi="Arial" w:cs="Arial"/>
          <w:lang w:val="en-US"/>
        </w:rPr>
        <w:t>ASSI</w:t>
      </w:r>
      <w:r w:rsidRPr="006A69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указано, что из политических соображений наиболее перспективной схемой организации системы является распределенный реестр </w:t>
      </w:r>
      <w:hyperlink r:id="rId2" w:history="1">
        <w:r w:rsidRPr="00CF3C4F">
          <w:rPr>
            <w:rStyle w:val="a3"/>
            <w:rFonts w:ascii="Arial" w:hAnsi="Arial" w:cs="Arial"/>
          </w:rPr>
          <w:t>https://aecsd.org/activities/consult-materials/3401/</w:t>
        </w:r>
      </w:hyperlink>
      <w:r w:rsidRPr="006A69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</w:footnote>
  <w:footnote w:id="4">
    <w:p w:rsidR="00CD5AF3" w:rsidRPr="00CD5AF3" w:rsidRDefault="00CD5AF3" w:rsidP="00CD5AF3">
      <w:pPr>
        <w:pStyle w:val="a4"/>
        <w:rPr>
          <w:rFonts w:ascii="Arial" w:hAnsi="Arial" w:cs="Arial"/>
        </w:rPr>
      </w:pPr>
      <w:r w:rsidRPr="00B91138">
        <w:rPr>
          <w:rStyle w:val="a6"/>
          <w:rFonts w:ascii="Arial" w:hAnsi="Arial" w:cs="Arial"/>
        </w:rPr>
        <w:footnoteRef/>
      </w:r>
      <w:r w:rsidRPr="00CD5AF3">
        <w:rPr>
          <w:rFonts w:ascii="Arial" w:hAnsi="Arial" w:cs="Arial"/>
        </w:rPr>
        <w:t xml:space="preserve"> </w:t>
      </w:r>
      <w:r w:rsidRPr="00B91138">
        <w:rPr>
          <w:rFonts w:ascii="Arial" w:hAnsi="Arial" w:cs="Arial"/>
          <w:lang w:val="en-US"/>
        </w:rPr>
        <w:t>https</w:t>
      </w:r>
      <w:r w:rsidRPr="00CD5AF3">
        <w:rPr>
          <w:rFonts w:ascii="Arial" w:hAnsi="Arial" w:cs="Arial"/>
        </w:rPr>
        <w:t>://</w:t>
      </w:r>
      <w:r w:rsidRPr="00B91138">
        <w:rPr>
          <w:rFonts w:ascii="Arial" w:hAnsi="Arial" w:cs="Arial"/>
          <w:lang w:val="en-US"/>
        </w:rPr>
        <w:t>issanet</w:t>
      </w:r>
      <w:r w:rsidRPr="00CD5AF3">
        <w:rPr>
          <w:rFonts w:ascii="Arial" w:hAnsi="Arial" w:cs="Arial"/>
        </w:rPr>
        <w:t>.</w:t>
      </w:r>
      <w:r w:rsidRPr="00B91138">
        <w:rPr>
          <w:rFonts w:ascii="Arial" w:hAnsi="Arial" w:cs="Arial"/>
          <w:lang w:val="en-US"/>
        </w:rPr>
        <w:t>org</w:t>
      </w:r>
      <w:r w:rsidRPr="00CD5AF3">
        <w:rPr>
          <w:rFonts w:ascii="Arial" w:hAnsi="Arial" w:cs="Arial"/>
        </w:rPr>
        <w:t>/</w:t>
      </w:r>
      <w:r w:rsidRPr="00B91138">
        <w:rPr>
          <w:rFonts w:ascii="Arial" w:hAnsi="Arial" w:cs="Arial"/>
          <w:lang w:val="en-US"/>
        </w:rPr>
        <w:t>content</w:t>
      </w:r>
      <w:r w:rsidRPr="00CD5AF3">
        <w:rPr>
          <w:rFonts w:ascii="Arial" w:hAnsi="Arial" w:cs="Arial"/>
        </w:rPr>
        <w:t>/</w:t>
      </w:r>
      <w:r w:rsidRPr="00B91138">
        <w:rPr>
          <w:rFonts w:ascii="Arial" w:hAnsi="Arial" w:cs="Arial"/>
          <w:lang w:val="en-US"/>
        </w:rPr>
        <w:t>uploads</w:t>
      </w:r>
      <w:r w:rsidRPr="00CD5AF3">
        <w:rPr>
          <w:rFonts w:ascii="Arial" w:hAnsi="Arial" w:cs="Arial"/>
        </w:rPr>
        <w:t>/2016/02/2018-10_</w:t>
      </w:r>
      <w:r w:rsidRPr="00B91138">
        <w:rPr>
          <w:rFonts w:ascii="Arial" w:hAnsi="Arial" w:cs="Arial"/>
          <w:lang w:val="en-US"/>
        </w:rPr>
        <w:t>ISSA</w:t>
      </w:r>
      <w:r w:rsidRPr="00CD5AF3">
        <w:rPr>
          <w:rFonts w:ascii="Arial" w:hAnsi="Arial" w:cs="Arial"/>
        </w:rPr>
        <w:t>_</w:t>
      </w:r>
      <w:r w:rsidRPr="00B91138">
        <w:rPr>
          <w:rFonts w:ascii="Arial" w:hAnsi="Arial" w:cs="Arial"/>
          <w:lang w:val="en-US"/>
        </w:rPr>
        <w:t>report</w:t>
      </w:r>
      <w:r w:rsidRPr="00CD5AF3">
        <w:rPr>
          <w:rFonts w:ascii="Arial" w:hAnsi="Arial" w:cs="Arial"/>
        </w:rPr>
        <w:t>_</w:t>
      </w:r>
      <w:r w:rsidRPr="00B91138">
        <w:rPr>
          <w:rFonts w:ascii="Arial" w:hAnsi="Arial" w:cs="Arial"/>
          <w:lang w:val="en-US"/>
        </w:rPr>
        <w:t>Infrastructure</w:t>
      </w:r>
      <w:r w:rsidRPr="00CD5AF3">
        <w:rPr>
          <w:rFonts w:ascii="Arial" w:hAnsi="Arial" w:cs="Arial"/>
        </w:rPr>
        <w:t>_</w:t>
      </w:r>
      <w:r w:rsidRPr="00B91138">
        <w:rPr>
          <w:rFonts w:ascii="Arial" w:hAnsi="Arial" w:cs="Arial"/>
          <w:lang w:val="en-US"/>
        </w:rPr>
        <w:t>for</w:t>
      </w:r>
      <w:r w:rsidRPr="00CD5AF3">
        <w:rPr>
          <w:rFonts w:ascii="Arial" w:hAnsi="Arial" w:cs="Arial"/>
        </w:rPr>
        <w:t>_</w:t>
      </w:r>
      <w:r w:rsidRPr="00B91138">
        <w:rPr>
          <w:rFonts w:ascii="Arial" w:hAnsi="Arial" w:cs="Arial"/>
          <w:lang w:val="en-US"/>
        </w:rPr>
        <w:t>Crypto</w:t>
      </w:r>
      <w:r w:rsidRPr="00CD5AF3">
        <w:rPr>
          <w:rFonts w:ascii="Arial" w:hAnsi="Arial" w:cs="Arial"/>
        </w:rPr>
        <w:t>-</w:t>
      </w:r>
      <w:r w:rsidRPr="00B91138">
        <w:rPr>
          <w:rFonts w:ascii="Arial" w:hAnsi="Arial" w:cs="Arial"/>
          <w:lang w:val="en-US"/>
        </w:rPr>
        <w:t>Assets</w:t>
      </w:r>
      <w:r w:rsidRPr="00CD5AF3">
        <w:rPr>
          <w:rFonts w:ascii="Arial" w:hAnsi="Arial" w:cs="Arial"/>
        </w:rPr>
        <w:t>.</w:t>
      </w:r>
      <w:r w:rsidRPr="00B91138">
        <w:rPr>
          <w:rFonts w:ascii="Arial" w:hAnsi="Arial" w:cs="Arial"/>
          <w:lang w:val="en-US"/>
        </w:rPr>
        <w:t>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2675"/>
    <w:multiLevelType w:val="hybridMultilevel"/>
    <w:tmpl w:val="2D8E04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7002DC"/>
    <w:multiLevelType w:val="hybridMultilevel"/>
    <w:tmpl w:val="E5E4E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9E1AD3"/>
    <w:multiLevelType w:val="hybridMultilevel"/>
    <w:tmpl w:val="85A69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74"/>
    <w:rsid w:val="00007085"/>
    <w:rsid w:val="00113B44"/>
    <w:rsid w:val="001A1674"/>
    <w:rsid w:val="001B235B"/>
    <w:rsid w:val="001D4254"/>
    <w:rsid w:val="00253C28"/>
    <w:rsid w:val="00256DE9"/>
    <w:rsid w:val="00267AAD"/>
    <w:rsid w:val="003A5B0D"/>
    <w:rsid w:val="004E3326"/>
    <w:rsid w:val="00521306"/>
    <w:rsid w:val="005511FC"/>
    <w:rsid w:val="00586072"/>
    <w:rsid w:val="005A2226"/>
    <w:rsid w:val="00622F05"/>
    <w:rsid w:val="00627CF3"/>
    <w:rsid w:val="00685058"/>
    <w:rsid w:val="007216D8"/>
    <w:rsid w:val="007A23B1"/>
    <w:rsid w:val="008A0E90"/>
    <w:rsid w:val="008A44C2"/>
    <w:rsid w:val="008A4D08"/>
    <w:rsid w:val="008F6757"/>
    <w:rsid w:val="00A24DB1"/>
    <w:rsid w:val="00A5425E"/>
    <w:rsid w:val="00A8406B"/>
    <w:rsid w:val="00A94FDD"/>
    <w:rsid w:val="00AA6723"/>
    <w:rsid w:val="00B610FE"/>
    <w:rsid w:val="00C012C6"/>
    <w:rsid w:val="00C97EA3"/>
    <w:rsid w:val="00CC538C"/>
    <w:rsid w:val="00CD5AF3"/>
    <w:rsid w:val="00D46332"/>
    <w:rsid w:val="00D566AE"/>
    <w:rsid w:val="00DF2E40"/>
    <w:rsid w:val="00E13195"/>
    <w:rsid w:val="00E41181"/>
    <w:rsid w:val="00E41347"/>
    <w:rsid w:val="00E71E39"/>
    <w:rsid w:val="00E873E9"/>
    <w:rsid w:val="00F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AF3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D5AF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5AF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D5AF3"/>
    <w:rPr>
      <w:vertAlign w:val="superscript"/>
    </w:rPr>
  </w:style>
  <w:style w:type="paragraph" w:styleId="a7">
    <w:name w:val="Normal (Web)"/>
    <w:basedOn w:val="a"/>
    <w:uiPriority w:val="99"/>
    <w:unhideWhenUsed/>
    <w:rsid w:val="003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2C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072"/>
  </w:style>
  <w:style w:type="paragraph" w:styleId="ac">
    <w:name w:val="footer"/>
    <w:basedOn w:val="a"/>
    <w:link w:val="ad"/>
    <w:uiPriority w:val="99"/>
    <w:unhideWhenUsed/>
    <w:rsid w:val="005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6072"/>
  </w:style>
  <w:style w:type="paragraph" w:styleId="ae">
    <w:name w:val="List Paragraph"/>
    <w:basedOn w:val="a"/>
    <w:uiPriority w:val="34"/>
    <w:qFormat/>
    <w:rsid w:val="00C97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AF3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D5AF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5AF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D5AF3"/>
    <w:rPr>
      <w:vertAlign w:val="superscript"/>
    </w:rPr>
  </w:style>
  <w:style w:type="paragraph" w:styleId="a7">
    <w:name w:val="Normal (Web)"/>
    <w:basedOn w:val="a"/>
    <w:uiPriority w:val="99"/>
    <w:unhideWhenUsed/>
    <w:rsid w:val="003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2C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072"/>
  </w:style>
  <w:style w:type="paragraph" w:styleId="ac">
    <w:name w:val="footer"/>
    <w:basedOn w:val="a"/>
    <w:link w:val="ad"/>
    <w:uiPriority w:val="99"/>
    <w:unhideWhenUsed/>
    <w:rsid w:val="0058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6072"/>
  </w:style>
  <w:style w:type="paragraph" w:styleId="ae">
    <w:name w:val="List Paragraph"/>
    <w:basedOn w:val="a"/>
    <w:uiPriority w:val="34"/>
    <w:qFormat/>
    <w:rsid w:val="00C9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ecsd.org/activities/consult-materials/3401/" TargetMode="External"/><Relationship Id="rId1" Type="http://schemas.openxmlformats.org/officeDocument/2006/relationships/hyperlink" Target="http://partad.ru/UploadFiles/GetUploadedPdfFile?uploadFileId=1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A65BA-5E29-4EE3-B249-9BBBB5AE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Зенькович</dc:creator>
  <cp:lastModifiedBy>Елена Зенькович</cp:lastModifiedBy>
  <cp:revision>3</cp:revision>
  <dcterms:created xsi:type="dcterms:W3CDTF">2024-04-11T06:53:00Z</dcterms:created>
  <dcterms:modified xsi:type="dcterms:W3CDTF">2024-04-11T06:54:00Z</dcterms:modified>
</cp:coreProperties>
</file>