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BF" w:rsidRPr="00A25EBF" w:rsidRDefault="00A25EBF" w:rsidP="00191788">
      <w:pPr>
        <w:spacing w:after="100" w:afterAutospacing="1" w:line="240" w:lineRule="auto"/>
        <w:jc w:val="right"/>
        <w:rPr>
          <w:i/>
        </w:rPr>
      </w:pPr>
      <w:r w:rsidRPr="00A25EBF">
        <w:rPr>
          <w:i/>
        </w:rPr>
        <w:t>Приложение</w:t>
      </w:r>
    </w:p>
    <w:p w:rsidR="00B50075" w:rsidRDefault="00154D33" w:rsidP="00191788">
      <w:pPr>
        <w:spacing w:after="100" w:afterAutospacing="1" w:line="240" w:lineRule="auto"/>
        <w:jc w:val="center"/>
        <w:rPr>
          <w:b/>
        </w:rPr>
      </w:pPr>
      <w:r>
        <w:rPr>
          <w:b/>
        </w:rPr>
        <w:t xml:space="preserve">Предложения </w:t>
      </w:r>
      <w:r w:rsidR="00B50075" w:rsidRPr="00446B61">
        <w:rPr>
          <w:b/>
        </w:rPr>
        <w:t xml:space="preserve"> к </w:t>
      </w:r>
      <w:r w:rsidR="00B50075">
        <w:rPr>
          <w:b/>
        </w:rPr>
        <w:t>проекту Положения Банка России «</w:t>
      </w:r>
      <w:r w:rsidR="00B50075" w:rsidRPr="00B50075">
        <w:rPr>
          <w:b/>
        </w:rPr>
        <w:t xml:space="preserve">О </w:t>
      </w:r>
      <w:r w:rsidR="00550217" w:rsidRPr="00550217">
        <w:rPr>
          <w:b/>
        </w:rPr>
        <w:t>лицензионных требованиях и условиях осуществления профессиональной деятельности на рынке ценных бумаг</w:t>
      </w:r>
      <w:r w:rsidR="00B50075">
        <w:rPr>
          <w:b/>
        </w:rPr>
        <w:t>»</w:t>
      </w:r>
      <w:r w:rsidR="00E27A42">
        <w:rPr>
          <w:b/>
        </w:rPr>
        <w:t xml:space="preserve"> (далее-</w:t>
      </w:r>
      <w:r w:rsidR="008C066B">
        <w:rPr>
          <w:b/>
        </w:rPr>
        <w:t>проект Положения</w:t>
      </w:r>
      <w:r w:rsidR="00E27A42">
        <w:rPr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3077"/>
        <w:gridCol w:w="3063"/>
        <w:gridCol w:w="8866"/>
      </w:tblGrid>
      <w:tr w:rsidR="00703EDC" w:rsidRPr="00B50075" w:rsidTr="00C119E2">
        <w:tc>
          <w:tcPr>
            <w:tcW w:w="914" w:type="dxa"/>
            <w:vAlign w:val="center"/>
          </w:tcPr>
          <w:p w:rsidR="004D5ECE" w:rsidRPr="00B50075" w:rsidRDefault="004D5ECE" w:rsidP="0019178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B50075">
              <w:rPr>
                <w:b/>
                <w:sz w:val="20"/>
                <w:szCs w:val="20"/>
              </w:rPr>
              <w:t>Пункт</w:t>
            </w:r>
            <w:r w:rsidR="008473D5">
              <w:rPr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3077" w:type="dxa"/>
            <w:vAlign w:val="center"/>
          </w:tcPr>
          <w:p w:rsidR="004D5ECE" w:rsidRPr="00B50075" w:rsidRDefault="008C066B" w:rsidP="0019178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</w:t>
            </w:r>
            <w:proofErr w:type="gramStart"/>
            <w:r>
              <w:rPr>
                <w:b/>
                <w:sz w:val="20"/>
                <w:szCs w:val="20"/>
              </w:rPr>
              <w:t>кст пр</w:t>
            </w:r>
            <w:proofErr w:type="gramEnd"/>
            <w:r>
              <w:rPr>
                <w:b/>
                <w:sz w:val="20"/>
                <w:szCs w:val="20"/>
              </w:rPr>
              <w:t>оекта</w:t>
            </w:r>
            <w:r w:rsidR="004D5ECE" w:rsidRPr="00B50075">
              <w:rPr>
                <w:b/>
                <w:sz w:val="20"/>
                <w:szCs w:val="20"/>
              </w:rPr>
              <w:t xml:space="preserve"> Положения </w:t>
            </w:r>
          </w:p>
        </w:tc>
        <w:tc>
          <w:tcPr>
            <w:tcW w:w="3063" w:type="dxa"/>
          </w:tcPr>
          <w:p w:rsidR="004D5ECE" w:rsidRPr="00B50075" w:rsidRDefault="004D5ECE" w:rsidP="0019178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8866" w:type="dxa"/>
            <w:vAlign w:val="center"/>
          </w:tcPr>
          <w:p w:rsidR="004D5ECE" w:rsidRPr="00B50075" w:rsidRDefault="004D5ECE" w:rsidP="00191788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B50075">
              <w:rPr>
                <w:b/>
                <w:sz w:val="20"/>
                <w:szCs w:val="20"/>
              </w:rPr>
              <w:t>Комментарии</w:t>
            </w:r>
            <w:r w:rsidR="00D3117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1788" w:rsidRPr="00B50075" w:rsidTr="00C119E2">
        <w:tc>
          <w:tcPr>
            <w:tcW w:w="914" w:type="dxa"/>
          </w:tcPr>
          <w:p w:rsidR="00191788" w:rsidRDefault="00191788" w:rsidP="00191788">
            <w:pPr>
              <w:pStyle w:val="a8"/>
              <w:spacing w:after="100" w:afterAutospacing="1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2.1</w:t>
            </w:r>
          </w:p>
        </w:tc>
        <w:tc>
          <w:tcPr>
            <w:tcW w:w="3077" w:type="dxa"/>
            <w:vMerge w:val="restart"/>
          </w:tcPr>
          <w:p w:rsidR="00191788" w:rsidRPr="00B4557A" w:rsidRDefault="00191788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4557A">
              <w:rPr>
                <w:rFonts w:asciiTheme="minorHAnsi" w:hAnsiTheme="minorHAnsi" w:cs="Tahoma"/>
                <w:sz w:val="20"/>
                <w:szCs w:val="20"/>
              </w:rPr>
              <w:t>Лицензионными требованиями и условиями являются:</w:t>
            </w:r>
          </w:p>
          <w:p w:rsidR="00191788" w:rsidRDefault="00191788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4557A">
              <w:rPr>
                <w:rFonts w:asciiTheme="minorHAnsi" w:hAnsiTheme="minorHAnsi" w:cs="Tahoma"/>
                <w:sz w:val="20"/>
                <w:szCs w:val="20"/>
              </w:rPr>
              <w:t>соответствие органов управления и работников профессионального участника рынка ценных бумаг установленным Законом о рынке ценных бумаг и нормативными актами в сфере финансовых рынков требованиям (</w:t>
            </w:r>
            <w:r w:rsidRPr="004D5ECE">
              <w:rPr>
                <w:rFonts w:asciiTheme="minorHAnsi" w:hAnsiTheme="minorHAnsi" w:cs="Tahoma"/>
                <w:sz w:val="20"/>
                <w:szCs w:val="20"/>
                <w:u w:val="single"/>
              </w:rPr>
              <w:t>в том числе квалификационным требованиям и требованиям к профессиональному опыту</w:t>
            </w:r>
            <w:r>
              <w:rPr>
                <w:rFonts w:asciiTheme="minorHAnsi" w:hAnsiTheme="minorHAnsi" w:cs="Tahoma"/>
                <w:sz w:val="20"/>
                <w:szCs w:val="20"/>
              </w:rPr>
              <w:t>).</w:t>
            </w:r>
          </w:p>
          <w:p w:rsidR="00191788" w:rsidRPr="00B4557A" w:rsidRDefault="00191788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063" w:type="dxa"/>
            <w:vMerge w:val="restart"/>
          </w:tcPr>
          <w:p w:rsidR="00191788" w:rsidRDefault="00191788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  <w:p w:rsidR="00191788" w:rsidRPr="00B4557A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B4557A">
              <w:rPr>
                <w:rFonts w:cs="Tahoma"/>
                <w:sz w:val="20"/>
                <w:szCs w:val="20"/>
              </w:rPr>
              <w:t>соответствие органов управления и работников профессионального участника рынка ценных бумаг установленным Законом о рынке ценных бумаг и нормативными актами в сфере финансовых рынков требованиям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866" w:type="dxa"/>
            <w:vMerge w:val="restart"/>
          </w:tcPr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  <w:p w:rsidR="00191788" w:rsidRPr="00B4557A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Согласно проекту Положения члены Совета директоров </w:t>
            </w:r>
            <w:r w:rsidRPr="00B4557A">
              <w:rPr>
                <w:rFonts w:cs="Tahoma"/>
                <w:sz w:val="20"/>
                <w:szCs w:val="20"/>
              </w:rPr>
              <w:t>профессионального участника рынка ценных бумаг должны соответствовать квалификационн</w:t>
            </w:r>
            <w:r>
              <w:rPr>
                <w:rFonts w:cs="Tahoma"/>
                <w:sz w:val="20"/>
                <w:szCs w:val="20"/>
              </w:rPr>
              <w:t>ым требованиям и иметь соответствующий аттестат, что нецелесообразно в силу избыточности такого требования</w:t>
            </w:r>
          </w:p>
          <w:p w:rsidR="00191788" w:rsidRPr="00B4557A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191788" w:rsidRPr="00B50075" w:rsidTr="00C119E2">
        <w:tc>
          <w:tcPr>
            <w:tcW w:w="914" w:type="dxa"/>
          </w:tcPr>
          <w:p w:rsidR="00191788" w:rsidRPr="00A476F8" w:rsidRDefault="00191788" w:rsidP="00191788">
            <w:pPr>
              <w:pStyle w:val="a8"/>
              <w:spacing w:after="100" w:afterAutospacing="1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2.1.4</w:t>
            </w:r>
          </w:p>
        </w:tc>
        <w:tc>
          <w:tcPr>
            <w:tcW w:w="3077" w:type="dxa"/>
            <w:vMerge/>
          </w:tcPr>
          <w:p w:rsidR="00191788" w:rsidRPr="00AA1416" w:rsidRDefault="00191788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8866" w:type="dxa"/>
            <w:vMerge/>
          </w:tcPr>
          <w:p w:rsidR="00191788" w:rsidRPr="00E04BE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703EDC" w:rsidRPr="00B50075" w:rsidTr="00C119E2">
        <w:tc>
          <w:tcPr>
            <w:tcW w:w="914" w:type="dxa"/>
          </w:tcPr>
          <w:p w:rsidR="004D5ECE" w:rsidRPr="006519E5" w:rsidRDefault="004D5ECE" w:rsidP="00191788">
            <w:pPr>
              <w:spacing w:after="100" w:afterAutospacing="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2.1.9</w:t>
            </w:r>
          </w:p>
        </w:tc>
        <w:tc>
          <w:tcPr>
            <w:tcW w:w="3077" w:type="dxa"/>
          </w:tcPr>
          <w:p w:rsidR="004D5ECE" w:rsidRPr="006519E5" w:rsidRDefault="004D5ECE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4557A">
              <w:rPr>
                <w:rFonts w:asciiTheme="minorHAnsi" w:hAnsiTheme="minorHAnsi" w:cs="Tahoma"/>
                <w:sz w:val="20"/>
                <w:szCs w:val="20"/>
              </w:rPr>
              <w:t>предоставление полной информации о лицах, под контролем либо значительным влиянием которых находится лицензиат в виде списка, составленного по образцу приложения 1 к настоящему Положению (далее – Список), схемы взаимосвязей лицензиата и лиц, под контролем либо значительным влиянием которых находится лицензиат, составленной по образцу приложения 2 к настоящему Положению (далее – Схема). Список и Схема представляются в электронном виде в формате PDF не позднее пяти рабочих дней, следующих за отчетным кварталом.</w:t>
            </w:r>
          </w:p>
        </w:tc>
        <w:tc>
          <w:tcPr>
            <w:tcW w:w="3063" w:type="dxa"/>
          </w:tcPr>
          <w:p w:rsidR="004D5ECE" w:rsidRDefault="004D5ECE" w:rsidP="00191788">
            <w:pPr>
              <w:spacing w:after="100" w:afterAutospacing="1"/>
              <w:jc w:val="both"/>
              <w:rPr>
                <w:rFonts w:cs="Tahoma"/>
                <w:b/>
                <w:sz w:val="20"/>
                <w:szCs w:val="20"/>
              </w:rPr>
            </w:pPr>
            <w:r w:rsidRPr="00B4557A">
              <w:rPr>
                <w:rFonts w:cs="Tahoma"/>
                <w:sz w:val="20"/>
                <w:szCs w:val="20"/>
              </w:rPr>
              <w:t xml:space="preserve">предоставление полной информации о лицах, под контролем либо значительным влиянием которых находится лицензиат в виде списка, составленного по образцу приложения 1 к настоящему Положению (далее – Список), схемы взаимосвязей лицензиата и лиц, под контролем либо значительным влиянием которых находится лицензиат, составленной по образцу приложения 2 к настоящему Положению (далее – Схема). Список и Схема представляются в электронном виде в формате PDF не позднее </w:t>
            </w:r>
            <w:r>
              <w:rPr>
                <w:rFonts w:cs="Tahoma"/>
                <w:sz w:val="20"/>
                <w:szCs w:val="20"/>
                <w:u w:val="single"/>
              </w:rPr>
              <w:t>десяти</w:t>
            </w:r>
            <w:r w:rsidRPr="00B4557A">
              <w:rPr>
                <w:rFonts w:cs="Tahoma"/>
                <w:sz w:val="20"/>
                <w:szCs w:val="20"/>
              </w:rPr>
              <w:t xml:space="preserve"> рабочих дней, следующих за отчетным кварталом.</w:t>
            </w:r>
          </w:p>
        </w:tc>
        <w:tc>
          <w:tcPr>
            <w:tcW w:w="8866" w:type="dxa"/>
          </w:tcPr>
          <w:p w:rsidR="004D5ECE" w:rsidRDefault="00CD78AA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Установленный в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редакции проекта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6449CC">
              <w:rPr>
                <w:rFonts w:cs="Tahoma"/>
                <w:sz w:val="20"/>
                <w:szCs w:val="20"/>
              </w:rPr>
              <w:t xml:space="preserve">Положения </w:t>
            </w:r>
            <w:r>
              <w:rPr>
                <w:rFonts w:cs="Tahoma"/>
                <w:sz w:val="20"/>
                <w:szCs w:val="20"/>
              </w:rPr>
              <w:t>срок предоставления информации является невыполнимым, поскольку связан</w:t>
            </w:r>
            <w:r w:rsidR="004D5ECE" w:rsidRPr="00E04BE8">
              <w:rPr>
                <w:rFonts w:cs="Tahoma"/>
                <w:sz w:val="20"/>
                <w:szCs w:val="20"/>
              </w:rPr>
              <w:t xml:space="preserve"> с необходимостью получения информации от третьих лиц (реестродержателя, акционеров, бенефициаров), а также анализом и структурированием полученной информации.</w:t>
            </w:r>
          </w:p>
          <w:p w:rsidR="004D5ECE" w:rsidRDefault="00CD78AA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Так, </w:t>
            </w:r>
            <w:r w:rsidR="004D5ECE" w:rsidRPr="00B4557A">
              <w:rPr>
                <w:rFonts w:cs="Tahoma"/>
                <w:sz w:val="20"/>
                <w:szCs w:val="20"/>
              </w:rPr>
              <w:t>регистратор предоставляет</w:t>
            </w:r>
            <w:r>
              <w:rPr>
                <w:rFonts w:cs="Tahoma"/>
                <w:sz w:val="20"/>
                <w:szCs w:val="20"/>
              </w:rPr>
              <w:t xml:space="preserve"> информацию из реестра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в </w:t>
            </w:r>
            <w:r>
              <w:rPr>
                <w:rFonts w:cs="Tahoma"/>
                <w:sz w:val="20"/>
                <w:szCs w:val="20"/>
              </w:rPr>
              <w:t xml:space="preserve">срок 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3 рабочих дня, а при наличии в реестре номинального держателя </w:t>
            </w:r>
            <w:r>
              <w:rPr>
                <w:rFonts w:cs="Tahoma"/>
                <w:sz w:val="20"/>
                <w:szCs w:val="20"/>
              </w:rPr>
              <w:t>срок увеличивается дополнительно на 5 рабочих дней,</w:t>
            </w:r>
            <w:r w:rsidR="004D5ECE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т</w:t>
            </w:r>
            <w:r w:rsidR="004D5ECE">
              <w:rPr>
                <w:rFonts w:cs="Tahoma"/>
                <w:sz w:val="20"/>
                <w:szCs w:val="20"/>
              </w:rPr>
              <w:t>аким образом,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 xml:space="preserve">необходимые 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сведения </w:t>
            </w:r>
            <w:r>
              <w:rPr>
                <w:rFonts w:cs="Tahoma"/>
                <w:sz w:val="20"/>
                <w:szCs w:val="20"/>
              </w:rPr>
              <w:t>будут получены через 8 рабочих дней.</w:t>
            </w:r>
          </w:p>
          <w:p w:rsidR="00CD78AA" w:rsidRPr="00B4557A" w:rsidRDefault="00CD78AA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Исходя из изложенного, предлагается увеличить срок предоставления информации до 10 рабочих дней.</w:t>
            </w:r>
          </w:p>
          <w:p w:rsidR="00154D33" w:rsidRPr="00154D33" w:rsidRDefault="00154D33" w:rsidP="00191788">
            <w:pPr>
              <w:tabs>
                <w:tab w:val="left" w:pos="8789"/>
              </w:tabs>
              <w:spacing w:after="100" w:afterAutospacing="1"/>
              <w:jc w:val="both"/>
              <w:rPr>
                <w:sz w:val="20"/>
                <w:szCs w:val="20"/>
              </w:rPr>
            </w:pPr>
            <w:r w:rsidRPr="0095075D">
              <w:rPr>
                <w:sz w:val="20"/>
                <w:szCs w:val="20"/>
              </w:rPr>
              <w:t>Дополнительно отмечаем, что, исходя из целей реализации принципа независимости регистраторов, установленного пунктом 4 статьи 97 ГК РФ, проектом Положения предусмотрена обязанность направления полной информации о лицах, под контролем либо значительным влиянием которых он находится (</w:t>
            </w:r>
            <w:r w:rsidRPr="0095075D">
              <w:rPr>
                <w:i/>
                <w:sz w:val="20"/>
                <w:szCs w:val="20"/>
              </w:rPr>
              <w:t>в том числе предоставление схемы взаимосвязей лицензиата и аффилированных лиц</w:t>
            </w:r>
            <w:r w:rsidRPr="0095075D">
              <w:rPr>
                <w:sz w:val="20"/>
                <w:szCs w:val="20"/>
              </w:rPr>
              <w:t xml:space="preserve">). </w:t>
            </w:r>
            <w:r w:rsidR="00E72217" w:rsidRPr="0095075D">
              <w:rPr>
                <w:sz w:val="20"/>
                <w:szCs w:val="20"/>
              </w:rPr>
              <w:t xml:space="preserve"> Для</w:t>
            </w:r>
            <w:r w:rsidRPr="0095075D">
              <w:rPr>
                <w:sz w:val="20"/>
                <w:szCs w:val="20"/>
              </w:rPr>
              <w:t xml:space="preserve"> реализации указанного требования ГК РФ необходимо, прежде всего, разработать (</w:t>
            </w:r>
            <w:r w:rsidRPr="0095075D">
              <w:rPr>
                <w:i/>
                <w:sz w:val="20"/>
                <w:szCs w:val="20"/>
              </w:rPr>
              <w:t>с участием саморегулируемых организаций и профессионального сообщества</w:t>
            </w:r>
            <w:r w:rsidRPr="0095075D">
              <w:rPr>
                <w:sz w:val="20"/>
                <w:szCs w:val="20"/>
              </w:rPr>
              <w:t xml:space="preserve">) критерии независимости регистраторов и регламентировать их на уровне закона. Также </w:t>
            </w:r>
            <w:r w:rsidR="00E72217" w:rsidRPr="0095075D">
              <w:rPr>
                <w:sz w:val="20"/>
                <w:szCs w:val="20"/>
              </w:rPr>
              <w:t>отмечаем</w:t>
            </w:r>
            <w:r w:rsidRPr="0095075D">
              <w:rPr>
                <w:sz w:val="20"/>
                <w:szCs w:val="20"/>
              </w:rPr>
              <w:t xml:space="preserve">, </w:t>
            </w:r>
            <w:r w:rsidRPr="0095075D">
              <w:rPr>
                <w:sz w:val="20"/>
                <w:szCs w:val="20"/>
              </w:rPr>
              <w:lastRenderedPageBreak/>
              <w:t>что для иных профучастников (в том числе депозитариев) на уровне законодательства отсутствуют требования по их независимости, в связи с чем, целесообразность предоставления ими информации</w:t>
            </w:r>
            <w:r w:rsidR="00E72217" w:rsidRPr="0095075D">
              <w:rPr>
                <w:sz w:val="20"/>
                <w:szCs w:val="20"/>
              </w:rPr>
              <w:t>,</w:t>
            </w:r>
            <w:r w:rsidRPr="0095075D">
              <w:rPr>
                <w:sz w:val="20"/>
                <w:szCs w:val="20"/>
              </w:rPr>
              <w:t xml:space="preserve"> согласно проекту Положения</w:t>
            </w:r>
            <w:r w:rsidR="00E72217" w:rsidRPr="0095075D">
              <w:rPr>
                <w:sz w:val="20"/>
                <w:szCs w:val="20"/>
              </w:rPr>
              <w:t>,</w:t>
            </w:r>
            <w:r w:rsidRPr="0095075D">
              <w:rPr>
                <w:sz w:val="20"/>
                <w:szCs w:val="20"/>
              </w:rPr>
              <w:t xml:space="preserve"> остается дискуссионной.</w:t>
            </w:r>
          </w:p>
          <w:p w:rsidR="004D5ECE" w:rsidRDefault="004D5ECE" w:rsidP="00191788">
            <w:pPr>
              <w:spacing w:after="100" w:afterAutospacing="1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</w:tr>
      <w:tr w:rsidR="00703EDC" w:rsidRPr="00B50075" w:rsidTr="00C119E2">
        <w:tc>
          <w:tcPr>
            <w:tcW w:w="914" w:type="dxa"/>
          </w:tcPr>
          <w:p w:rsidR="00AD114F" w:rsidRDefault="00AD114F" w:rsidP="00191788">
            <w:pPr>
              <w:spacing w:after="100" w:afterAutospacing="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2.1.10.</w:t>
            </w:r>
          </w:p>
        </w:tc>
        <w:tc>
          <w:tcPr>
            <w:tcW w:w="3077" w:type="dxa"/>
          </w:tcPr>
          <w:p w:rsidR="00AD114F" w:rsidRPr="00B4557A" w:rsidRDefault="00AD114F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Наличие программно-технического обеспечения, необходимого для осуществления профессиональной деятельности на рынке ценных бумаг и соответствующего требованиям законодательства Российской Федерации о ценных бумагах, в том числе нормативных актов Банка России.</w:t>
            </w:r>
          </w:p>
        </w:tc>
        <w:tc>
          <w:tcPr>
            <w:tcW w:w="3063" w:type="dxa"/>
          </w:tcPr>
          <w:p w:rsidR="008560AD" w:rsidRPr="00B4557A" w:rsidRDefault="008560AD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Наличие программно-технического обеспечения, необходимого для осуществления профессиональной деятельности на рынке ценных бумаг и соответствующее </w:t>
            </w:r>
            <w:r w:rsidRPr="008560AD">
              <w:rPr>
                <w:rFonts w:asciiTheme="minorHAnsi" w:hAnsiTheme="minorHAnsi" w:cs="Tahoma"/>
                <w:sz w:val="20"/>
                <w:szCs w:val="20"/>
                <w:u w:val="single"/>
              </w:rPr>
              <w:t>профессиональным стандартам саморегулируемой организации</w:t>
            </w:r>
            <w:r>
              <w:rPr>
                <w:rFonts w:asciiTheme="minorHAnsi" w:hAnsiTheme="minorHAnsi" w:cs="Tahoma"/>
                <w:sz w:val="20"/>
                <w:szCs w:val="20"/>
                <w:u w:val="single"/>
              </w:rPr>
              <w:t>.</w:t>
            </w:r>
          </w:p>
        </w:tc>
        <w:tc>
          <w:tcPr>
            <w:tcW w:w="8866" w:type="dxa"/>
          </w:tcPr>
          <w:p w:rsidR="00AD114F" w:rsidRPr="001B71BD" w:rsidRDefault="00FA123A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1B71BD">
              <w:rPr>
                <w:rFonts w:cs="Tahoma"/>
                <w:sz w:val="20"/>
                <w:szCs w:val="20"/>
              </w:rPr>
              <w:t>В настоящее время не установлено никаких требований к программно-техническому обеспечению, в том числе на уровне законодательства РФ.</w:t>
            </w:r>
          </w:p>
          <w:p w:rsidR="001B71BD" w:rsidRPr="001B71BD" w:rsidRDefault="001B71BD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1B71BD">
              <w:rPr>
                <w:sz w:val="20"/>
                <w:szCs w:val="20"/>
              </w:rPr>
              <w:t>Характер данных требований, ранее уже вводимых ФСФР России, вызывает существенные сомнения в их необходимости.</w:t>
            </w:r>
          </w:p>
          <w:p w:rsidR="001B71BD" w:rsidRPr="001B71BD" w:rsidRDefault="001B71BD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1B71BD">
              <w:rPr>
                <w:sz w:val="20"/>
                <w:szCs w:val="20"/>
              </w:rPr>
              <w:t>Профессиональные участники в рамках своей деятельности на протяжении многих лет уже используют программное обеспечение, в связи с чем установление в дальнейшем таких требований повлечет  существенные финансовые затраты для его доработки (как массово</w:t>
            </w:r>
            <w:r>
              <w:rPr>
                <w:sz w:val="20"/>
                <w:szCs w:val="20"/>
              </w:rPr>
              <w:t>е</w:t>
            </w:r>
            <w:r w:rsidRPr="001B71BD">
              <w:rPr>
                <w:sz w:val="20"/>
                <w:szCs w:val="20"/>
              </w:rPr>
              <w:t xml:space="preserve"> ПО, так и собственны</w:t>
            </w:r>
            <w:r>
              <w:rPr>
                <w:sz w:val="20"/>
                <w:szCs w:val="20"/>
              </w:rPr>
              <w:t>е</w:t>
            </w:r>
            <w:r w:rsidRPr="001B71BD">
              <w:rPr>
                <w:sz w:val="20"/>
                <w:szCs w:val="20"/>
              </w:rPr>
              <w:t xml:space="preserve"> разработ</w:t>
            </w:r>
            <w:r>
              <w:rPr>
                <w:sz w:val="20"/>
                <w:szCs w:val="20"/>
              </w:rPr>
              <w:t>ки</w:t>
            </w:r>
            <w:r w:rsidRPr="001B71BD">
              <w:rPr>
                <w:sz w:val="20"/>
                <w:szCs w:val="20"/>
              </w:rPr>
              <w:t xml:space="preserve"> организаций).</w:t>
            </w:r>
          </w:p>
          <w:p w:rsidR="00FA123A" w:rsidRDefault="00FA123A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1B71BD">
              <w:rPr>
                <w:rFonts w:cs="Tahoma"/>
                <w:sz w:val="20"/>
                <w:szCs w:val="20"/>
              </w:rPr>
              <w:t xml:space="preserve">Считаем, что такие </w:t>
            </w:r>
            <w:r w:rsidR="00B969FB" w:rsidRPr="001B71BD">
              <w:rPr>
                <w:rFonts w:cs="Tahoma"/>
                <w:sz w:val="20"/>
                <w:szCs w:val="20"/>
              </w:rPr>
              <w:t>требования могут быть установлены на уровне стандарта СРО.</w:t>
            </w:r>
          </w:p>
          <w:p w:rsidR="00191788" w:rsidRPr="00B4557A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703EDC" w:rsidRPr="00B50075" w:rsidTr="00C119E2">
        <w:tc>
          <w:tcPr>
            <w:tcW w:w="914" w:type="dxa"/>
          </w:tcPr>
          <w:p w:rsidR="00D07956" w:rsidRPr="005243D7" w:rsidRDefault="00D07956" w:rsidP="00191788">
            <w:pPr>
              <w:spacing w:after="100" w:afterAutospacing="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2.1.12.</w:t>
            </w:r>
          </w:p>
        </w:tc>
        <w:tc>
          <w:tcPr>
            <w:tcW w:w="3077" w:type="dxa"/>
          </w:tcPr>
          <w:p w:rsidR="00D07956" w:rsidRPr="005243D7" w:rsidRDefault="00D07956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обеспечение нахождения единоличного исполнительного органа и контролера соискателя лицензии и лицензиата по адресу, указанному в едином государственном реестре юридических лиц, </w:t>
            </w:r>
            <w:proofErr w:type="gramStart"/>
            <w:r>
              <w:rPr>
                <w:rFonts w:asciiTheme="minorHAnsi" w:hAnsiTheme="minorHAnsi" w:cs="Tahoma"/>
                <w:sz w:val="20"/>
                <w:szCs w:val="20"/>
              </w:rPr>
              <w:t>с даты предоставления</w:t>
            </w:r>
            <w:proofErr w:type="gramEnd"/>
            <w:r>
              <w:rPr>
                <w:rFonts w:asciiTheme="minorHAnsi" w:hAnsiTheme="minorHAnsi" w:cs="Tahoma"/>
                <w:sz w:val="20"/>
                <w:szCs w:val="20"/>
              </w:rPr>
              <w:t xml:space="preserve"> документов для получения лицензии в лицензирующий орган</w:t>
            </w:r>
          </w:p>
        </w:tc>
        <w:tc>
          <w:tcPr>
            <w:tcW w:w="3063" w:type="dxa"/>
          </w:tcPr>
          <w:p w:rsidR="00D07956" w:rsidRPr="005243D7" w:rsidRDefault="00D90762" w:rsidP="00191788">
            <w:pPr>
              <w:spacing w:after="100" w:afterAutospacing="1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обеспечение нахождения единоличного исполнительного органа соискателя лицензии по адресу, указанному в едином государственном реестре юридических лиц, </w:t>
            </w:r>
            <w:proofErr w:type="gramStart"/>
            <w:r>
              <w:rPr>
                <w:rFonts w:cs="Tahoma"/>
                <w:sz w:val="20"/>
                <w:szCs w:val="20"/>
              </w:rPr>
              <w:t>с даты предоставления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документов для получения лицензии в лицензирующий орган</w:t>
            </w:r>
          </w:p>
        </w:tc>
        <w:tc>
          <w:tcPr>
            <w:tcW w:w="8866" w:type="dxa"/>
          </w:tcPr>
          <w:p w:rsidR="00D07956" w:rsidRPr="00D90762" w:rsidRDefault="00AB11A5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D90762">
              <w:rPr>
                <w:rFonts w:cs="Tahoma"/>
                <w:sz w:val="20"/>
                <w:szCs w:val="20"/>
              </w:rPr>
              <w:t xml:space="preserve">Считаем требование </w:t>
            </w:r>
            <w:r w:rsidR="006449CC">
              <w:rPr>
                <w:rFonts w:cs="Tahoma"/>
                <w:sz w:val="20"/>
                <w:szCs w:val="20"/>
              </w:rPr>
              <w:t xml:space="preserve">проекта </w:t>
            </w:r>
            <w:r w:rsidRPr="00D90762">
              <w:rPr>
                <w:rFonts w:cs="Tahoma"/>
                <w:sz w:val="20"/>
                <w:szCs w:val="20"/>
              </w:rPr>
              <w:t>о нахождении руководителя организации и контролера по адресу, указанному в ЕГРЮЛ, избыточным.</w:t>
            </w:r>
            <w:r w:rsidR="002B673A" w:rsidRPr="00D90762">
              <w:rPr>
                <w:rFonts w:cs="Tahoma"/>
                <w:sz w:val="20"/>
                <w:szCs w:val="20"/>
              </w:rPr>
              <w:t xml:space="preserve"> При наличии большого количества подразделений</w:t>
            </w:r>
            <w:r w:rsidR="00962687">
              <w:rPr>
                <w:rFonts w:cs="Tahoma"/>
                <w:sz w:val="20"/>
                <w:szCs w:val="20"/>
              </w:rPr>
              <w:t xml:space="preserve">, расположенных в различных </w:t>
            </w:r>
            <w:r w:rsidR="003E39EC">
              <w:rPr>
                <w:rFonts w:cs="Tahoma"/>
                <w:sz w:val="20"/>
                <w:szCs w:val="20"/>
              </w:rPr>
              <w:t>местах</w:t>
            </w:r>
            <w:r w:rsidR="00962687">
              <w:rPr>
                <w:rFonts w:cs="Tahoma"/>
                <w:sz w:val="20"/>
                <w:szCs w:val="20"/>
              </w:rPr>
              <w:t>, выполнение данного требования становится затруднительным</w:t>
            </w:r>
            <w:r w:rsidR="002B673A" w:rsidRPr="00D90762">
              <w:rPr>
                <w:rFonts w:cs="Tahoma"/>
                <w:sz w:val="20"/>
                <w:szCs w:val="20"/>
              </w:rPr>
              <w:t>.</w:t>
            </w:r>
          </w:p>
          <w:p w:rsidR="002B673A" w:rsidRDefault="00D90762" w:rsidP="00191788">
            <w:pPr>
              <w:spacing w:after="100" w:afterAutospacing="1"/>
              <w:jc w:val="both"/>
              <w:rPr>
                <w:color w:val="000000"/>
              </w:rPr>
            </w:pPr>
            <w:r w:rsidRPr="00D90762">
              <w:rPr>
                <w:color w:val="000000"/>
                <w:sz w:val="20"/>
                <w:szCs w:val="20"/>
              </w:rPr>
              <w:t>Р</w:t>
            </w:r>
            <w:r w:rsidR="002B673A" w:rsidRPr="00D90762">
              <w:rPr>
                <w:color w:val="000000"/>
                <w:sz w:val="20"/>
                <w:szCs w:val="20"/>
              </w:rPr>
              <w:t>азумно оставить такое требование только для</w:t>
            </w:r>
            <w:r>
              <w:rPr>
                <w:color w:val="000000"/>
                <w:sz w:val="20"/>
                <w:szCs w:val="20"/>
              </w:rPr>
              <w:t xml:space="preserve"> единоличного исполнительного органа</w:t>
            </w:r>
            <w:r w:rsidR="002B673A" w:rsidRPr="00D90762">
              <w:rPr>
                <w:color w:val="000000"/>
                <w:sz w:val="20"/>
                <w:szCs w:val="20"/>
              </w:rPr>
              <w:t xml:space="preserve"> соискателя лицензии, как предусмотрено в Положении о лицензионных требованиях и условиях осуществления профессиональной деятельности на рынке ценных бумаг, утвержденном приказом ФСФР России от 20.07.2010 № 10-49/</w:t>
            </w:r>
            <w:proofErr w:type="spellStart"/>
            <w:r w:rsidR="002B673A" w:rsidRPr="00D90762">
              <w:rPr>
                <w:color w:val="000000"/>
                <w:sz w:val="20"/>
                <w:szCs w:val="20"/>
              </w:rPr>
              <w:t>пз</w:t>
            </w:r>
            <w:proofErr w:type="spellEnd"/>
            <w:r w:rsidR="002B673A" w:rsidRPr="00D90762">
              <w:rPr>
                <w:color w:val="000000"/>
                <w:sz w:val="20"/>
                <w:szCs w:val="20"/>
              </w:rPr>
              <w:t>-н. Для лицензиата после получения лицензии принципиальным является только требование о получении почтовой корреспонденции</w:t>
            </w:r>
            <w:r>
              <w:rPr>
                <w:color w:val="000000"/>
              </w:rPr>
              <w:t>.</w:t>
            </w:r>
          </w:p>
          <w:p w:rsidR="00191788" w:rsidRPr="005243D7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703EDC" w:rsidRPr="00B50075" w:rsidTr="00C119E2">
        <w:tc>
          <w:tcPr>
            <w:tcW w:w="914" w:type="dxa"/>
          </w:tcPr>
          <w:p w:rsidR="004D5ECE" w:rsidRPr="005243D7" w:rsidRDefault="004D5ECE" w:rsidP="00191788">
            <w:pPr>
              <w:spacing w:after="100" w:afterAutospacing="1"/>
              <w:rPr>
                <w:rFonts w:cs="Tahoma"/>
                <w:sz w:val="20"/>
                <w:szCs w:val="20"/>
              </w:rPr>
            </w:pPr>
            <w:r w:rsidRPr="005243D7">
              <w:rPr>
                <w:rFonts w:cs="Tahoma"/>
                <w:sz w:val="20"/>
                <w:szCs w:val="20"/>
              </w:rPr>
              <w:t>2.1.14</w:t>
            </w:r>
            <w:r w:rsidR="00D07956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3077" w:type="dxa"/>
          </w:tcPr>
          <w:p w:rsidR="004D5ECE" w:rsidRDefault="004D5ECE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5243D7">
              <w:rPr>
                <w:rFonts w:asciiTheme="minorHAnsi" w:hAnsiTheme="minorHAnsi" w:cs="Tahoma"/>
                <w:sz w:val="20"/>
                <w:szCs w:val="20"/>
              </w:rPr>
              <w:t xml:space="preserve">для соискателя лицензии, не являющегося кредитной организацией: размещение собственных средств соискателя лицензии на депозитном вкладе в кредитной организации на срок не менее девяносто дней с даты представления в лицензирующий орган документов для получения лицензии, при этом не допускается размещение </w:t>
            </w:r>
            <w:r w:rsidRPr="005243D7">
              <w:rPr>
                <w:rFonts w:asciiTheme="minorHAnsi" w:hAnsiTheme="minorHAnsi" w:cs="Tahoma"/>
                <w:sz w:val="20"/>
                <w:szCs w:val="20"/>
              </w:rPr>
              <w:lastRenderedPageBreak/>
              <w:t>денежных средств во вклады, срок возврата денежных средств по которым не определен или определен моментом востребования, и/или наличие собственных средств</w:t>
            </w:r>
            <w:proofErr w:type="gramEnd"/>
            <w:r w:rsidRPr="005243D7">
              <w:rPr>
                <w:rFonts w:asciiTheme="minorHAnsi" w:hAnsiTheme="minorHAnsi" w:cs="Tahoma"/>
                <w:sz w:val="20"/>
                <w:szCs w:val="20"/>
              </w:rPr>
              <w:t xml:space="preserve"> соискателя лицензии, рассчитанных в порядке, установленном законодательством Российской Федерации о ценных бумагах, при условии, что в состав активов принимаемых к расчету собственных сре</w:t>
            </w:r>
            <w:proofErr w:type="gramStart"/>
            <w:r w:rsidRPr="005243D7">
              <w:rPr>
                <w:rFonts w:asciiTheme="minorHAnsi" w:hAnsiTheme="minorHAnsi" w:cs="Tahoma"/>
                <w:sz w:val="20"/>
                <w:szCs w:val="20"/>
              </w:rPr>
              <w:t>дств вкл</w:t>
            </w:r>
            <w:proofErr w:type="gramEnd"/>
            <w:r w:rsidRPr="005243D7">
              <w:rPr>
                <w:rFonts w:asciiTheme="minorHAnsi" w:hAnsiTheme="minorHAnsi" w:cs="Tahoma"/>
                <w:sz w:val="20"/>
                <w:szCs w:val="20"/>
              </w:rPr>
              <w:t>ючаются только активы, предусмотренные пунктами 3.1, 3.2, 3.8, 3.12 и 3.13 приказа ФСФР России от 23.10.2008 № 08-41/</w:t>
            </w:r>
            <w:proofErr w:type="spellStart"/>
            <w:r w:rsidRPr="005243D7">
              <w:rPr>
                <w:rFonts w:asciiTheme="minorHAnsi" w:hAnsiTheme="minorHAnsi" w:cs="Tahoma"/>
                <w:sz w:val="20"/>
                <w:szCs w:val="20"/>
              </w:rPr>
              <w:t>пз</w:t>
            </w:r>
            <w:proofErr w:type="spellEnd"/>
            <w:r w:rsidRPr="005243D7">
              <w:rPr>
                <w:rFonts w:asciiTheme="minorHAnsi" w:hAnsiTheme="minorHAnsi" w:cs="Tahoma"/>
                <w:sz w:val="20"/>
                <w:szCs w:val="20"/>
              </w:rPr>
              <w:t>-н.</w:t>
            </w:r>
          </w:p>
          <w:p w:rsidR="00191788" w:rsidRPr="005243D7" w:rsidRDefault="00191788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063" w:type="dxa"/>
          </w:tcPr>
          <w:p w:rsidR="004D5ECE" w:rsidRPr="005243D7" w:rsidRDefault="00D90762" w:rsidP="00191788">
            <w:pPr>
              <w:spacing w:after="100" w:afterAutospacing="1"/>
              <w:jc w:val="both"/>
              <w:rPr>
                <w:rFonts w:cs="Tahoma"/>
                <w:b/>
                <w:sz w:val="20"/>
                <w:szCs w:val="20"/>
              </w:rPr>
            </w:pPr>
            <w:r w:rsidRPr="005243D7">
              <w:rPr>
                <w:rFonts w:cs="Tahoma"/>
                <w:sz w:val="20"/>
                <w:szCs w:val="20"/>
              </w:rPr>
              <w:lastRenderedPageBreak/>
              <w:t>для соискателя лицензии, не являющегося кредитной организацией: наличие собственных средств соискателя лицензии, рассчитанных в порядке, установленном законодательством Российской Федерации о ценных бумагах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866" w:type="dxa"/>
          </w:tcPr>
          <w:p w:rsidR="00703EDC" w:rsidRDefault="00703EDC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Считаем, что при наличии необходимых подтверждающих документов, которые могут быть представлены при необходимости</w:t>
            </w:r>
            <w:r w:rsidR="00DC4C23">
              <w:rPr>
                <w:rFonts w:cs="Tahoma"/>
                <w:sz w:val="20"/>
                <w:szCs w:val="20"/>
              </w:rPr>
              <w:t xml:space="preserve"> регулирующему органу</w:t>
            </w:r>
            <w:r>
              <w:rPr>
                <w:rFonts w:cs="Tahoma"/>
                <w:sz w:val="20"/>
                <w:szCs w:val="20"/>
              </w:rPr>
              <w:t>, нет необходимости размещения денежных средств соискателя лицензии на депозит</w:t>
            </w:r>
            <w:r w:rsidR="00E220EC">
              <w:rPr>
                <w:rFonts w:cs="Tahoma"/>
                <w:sz w:val="20"/>
                <w:szCs w:val="20"/>
              </w:rPr>
              <w:t>ном вкладе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DC4C23" w:rsidRPr="00DC4C23" w:rsidRDefault="00DC4C23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DC4C23">
              <w:rPr>
                <w:rFonts w:cs="Tahoma"/>
                <w:sz w:val="20"/>
                <w:szCs w:val="20"/>
              </w:rPr>
              <w:t>Полагаем данное ограничение излишним.</w:t>
            </w:r>
          </w:p>
          <w:p w:rsidR="004D5ECE" w:rsidRDefault="00962687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Дополнительно отмечаем, что, на наш взгляд, н</w:t>
            </w:r>
            <w:r w:rsidR="004D5ECE" w:rsidRPr="00962687">
              <w:rPr>
                <w:rFonts w:cs="Tahoma"/>
                <w:sz w:val="20"/>
                <w:szCs w:val="20"/>
              </w:rPr>
              <w:t xml:space="preserve">еоправданным является исключение из перечня ценных бумаг, учитываемых в составе финансовых вложений, по которым не определяется рыночная цена, </w:t>
            </w:r>
            <w:r w:rsidR="006449CC">
              <w:rPr>
                <w:rFonts w:cs="Tahoma"/>
                <w:sz w:val="20"/>
                <w:szCs w:val="20"/>
              </w:rPr>
              <w:t>поскольку</w:t>
            </w:r>
            <w:r w:rsidR="004D5ECE" w:rsidRPr="00962687">
              <w:rPr>
                <w:rFonts w:cs="Tahoma"/>
                <w:sz w:val="20"/>
                <w:szCs w:val="20"/>
              </w:rPr>
              <w:t xml:space="preserve"> качество </w:t>
            </w:r>
            <w:r w:rsidR="006449CC">
              <w:rPr>
                <w:rFonts w:cs="Tahoma"/>
                <w:sz w:val="20"/>
                <w:szCs w:val="20"/>
              </w:rPr>
              <w:t xml:space="preserve">таких ценных бумаг </w:t>
            </w:r>
            <w:r w:rsidR="004D5ECE" w:rsidRPr="00962687">
              <w:rPr>
                <w:rFonts w:cs="Tahoma"/>
                <w:sz w:val="20"/>
                <w:szCs w:val="20"/>
              </w:rPr>
              <w:t xml:space="preserve">зачастую превосходит </w:t>
            </w:r>
            <w:proofErr w:type="gramStart"/>
            <w:r w:rsidR="004D5ECE" w:rsidRPr="00962687">
              <w:rPr>
                <w:rFonts w:cs="Tahoma"/>
                <w:sz w:val="20"/>
                <w:szCs w:val="20"/>
              </w:rPr>
              <w:t>принимаемые</w:t>
            </w:r>
            <w:proofErr w:type="gramEnd"/>
            <w:r w:rsidR="004D5ECE" w:rsidRPr="00962687">
              <w:rPr>
                <w:rFonts w:cs="Tahoma"/>
                <w:sz w:val="20"/>
                <w:szCs w:val="20"/>
              </w:rPr>
              <w:t xml:space="preserve"> к зачёту, а стоимость имеет оценку независимого оценщика.</w:t>
            </w:r>
          </w:p>
          <w:p w:rsidR="00154D33" w:rsidRPr="005243D7" w:rsidRDefault="00154D33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  <w:p w:rsidR="004D5ECE" w:rsidRPr="005243D7" w:rsidRDefault="004D5ECE" w:rsidP="00191788">
            <w:pPr>
              <w:spacing w:after="100" w:afterAutospacing="1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</w:tr>
      <w:tr w:rsidR="00703EDC" w:rsidRPr="00B50075" w:rsidTr="00C119E2">
        <w:tc>
          <w:tcPr>
            <w:tcW w:w="914" w:type="dxa"/>
          </w:tcPr>
          <w:p w:rsidR="00084805" w:rsidRDefault="00084805" w:rsidP="00191788">
            <w:pPr>
              <w:spacing w:after="100" w:afterAutospacing="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2.1.15.</w:t>
            </w:r>
          </w:p>
        </w:tc>
        <w:tc>
          <w:tcPr>
            <w:tcW w:w="3077" w:type="dxa"/>
          </w:tcPr>
          <w:p w:rsidR="00084805" w:rsidRDefault="00084805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Tahoma"/>
                <w:sz w:val="20"/>
                <w:szCs w:val="20"/>
              </w:rPr>
              <w:t>Наличие бизнес-плана, содержащего программу действий соискателя лицензии на ближайшие два календарных года, включая параметры (показатели) и ожидаемые результаты деятельности, и позволяющего Банку России оценить способность соискателя лицензии обеспечить финансовую стабильность, выполнять требования законодательства Российской Федерации к деятельности лицензиата, соблюдать требования законодательства Российской Федерации по обеспечению интересов лиц, которым оказываются услуги и с которыми осуществляется взаимодействие в ходе осуществления лицензируемого вида</w:t>
            </w:r>
            <w:proofErr w:type="gramEnd"/>
            <w:r>
              <w:rPr>
                <w:rFonts w:asciiTheme="minorHAnsi" w:hAnsiTheme="minorHAnsi" w:cs="Tahoma"/>
                <w:sz w:val="20"/>
                <w:szCs w:val="20"/>
              </w:rPr>
              <w:t xml:space="preserve"> деятельности; способность </w:t>
            </w:r>
            <w:r>
              <w:rPr>
                <w:rFonts w:asciiTheme="minorHAnsi" w:hAnsiTheme="minorHAnsi" w:cs="Tahoma"/>
                <w:sz w:val="20"/>
                <w:szCs w:val="20"/>
              </w:rPr>
              <w:lastRenderedPageBreak/>
              <w:t>соискателя лицензии к долговременному существованию как прибыльной коммерческой организации; адекватность системы управления соискателя лицензии принимаемым рискам.</w:t>
            </w:r>
          </w:p>
          <w:p w:rsidR="00191788" w:rsidRPr="00B4557A" w:rsidRDefault="00191788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063" w:type="dxa"/>
          </w:tcPr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  <w:u w:val="single"/>
              </w:rPr>
            </w:pPr>
          </w:p>
          <w:p w:rsidR="00084805" w:rsidRPr="00F0697C" w:rsidRDefault="00DC4C23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  <w:u w:val="single"/>
              </w:rPr>
            </w:pPr>
            <w:r>
              <w:rPr>
                <w:rFonts w:cs="Tahoma"/>
                <w:sz w:val="20"/>
                <w:szCs w:val="20"/>
                <w:u w:val="single"/>
              </w:rPr>
              <w:t>Исключить данный пункт</w:t>
            </w:r>
          </w:p>
        </w:tc>
        <w:tc>
          <w:tcPr>
            <w:tcW w:w="8866" w:type="dxa"/>
          </w:tcPr>
          <w:p w:rsidR="000B4AA9" w:rsidRPr="000B4AA9" w:rsidRDefault="000B4AA9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0B4AA9">
              <w:rPr>
                <w:sz w:val="20"/>
                <w:szCs w:val="20"/>
              </w:rPr>
              <w:t xml:space="preserve">По нашему мнению, критерий финансовой стабильности способности лицензиата к долговременному существованию в качестве прибыльной организации является субъективным и не обеспечивает качественных подходов к регулированию профессиональной деятельности. Поскольку </w:t>
            </w:r>
            <w:proofErr w:type="spellStart"/>
            <w:r w:rsidRPr="000B4AA9">
              <w:rPr>
                <w:sz w:val="20"/>
                <w:szCs w:val="20"/>
              </w:rPr>
              <w:t>некредитные</w:t>
            </w:r>
            <w:proofErr w:type="spellEnd"/>
            <w:r w:rsidRPr="000B4AA9">
              <w:rPr>
                <w:sz w:val="20"/>
                <w:szCs w:val="20"/>
              </w:rPr>
              <w:t xml:space="preserve"> финансовые организации напрямую не хранят и не используют по собственному усмотрению, а лишь, в отдельных случаях, работают с дене</w:t>
            </w:r>
            <w:r w:rsidR="00A25EBF">
              <w:rPr>
                <w:sz w:val="20"/>
                <w:szCs w:val="20"/>
              </w:rPr>
              <w:t>жными средствами своих клиентов</w:t>
            </w:r>
            <w:r w:rsidRPr="000B4AA9">
              <w:rPr>
                <w:sz w:val="20"/>
                <w:szCs w:val="20"/>
              </w:rPr>
              <w:t xml:space="preserve"> на установленных нормативными актами условиях, то не вполне ясно, каким </w:t>
            </w:r>
            <w:proofErr w:type="gramStart"/>
            <w:r w:rsidRPr="000B4AA9">
              <w:rPr>
                <w:sz w:val="20"/>
                <w:szCs w:val="20"/>
              </w:rPr>
              <w:t>образом</w:t>
            </w:r>
            <w:proofErr w:type="gramEnd"/>
            <w:r w:rsidRPr="000B4AA9">
              <w:rPr>
                <w:sz w:val="20"/>
                <w:szCs w:val="20"/>
              </w:rPr>
              <w:t xml:space="preserve"> возможно оценить финансовую стабильность организации во взаимосвязи с ее профессиональной деятельностью на рынке ценных бумаг.</w:t>
            </w:r>
          </w:p>
          <w:p w:rsidR="000B4AA9" w:rsidRPr="000B4AA9" w:rsidRDefault="000B4AA9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B4AA9">
              <w:rPr>
                <w:sz w:val="20"/>
                <w:szCs w:val="20"/>
              </w:rPr>
              <w:t>читаем, что установление таких критериев не является напрямую вопросом регулирования профессиональной деятельности на рынке ценных бумаг, поскольку в</w:t>
            </w:r>
            <w:r w:rsidRPr="000B4AA9">
              <w:rPr>
                <w:rFonts w:cs="Tahoma"/>
                <w:sz w:val="20"/>
                <w:szCs w:val="20"/>
              </w:rPr>
              <w:t xml:space="preserve"> соответствии с действующим законодательством, деятельность на рынке ценных бумаг есть регламентируемый законом вид оплачиваемых услуг, т.е. является хозяйственной деятельностью, а юридическому лицу Конституцией РФ и ГК РФ гарантирована свобода экономической деятельности.</w:t>
            </w:r>
          </w:p>
          <w:p w:rsidR="000B4AA9" w:rsidRPr="000B4AA9" w:rsidRDefault="000B4AA9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0B4AA9">
              <w:rPr>
                <w:rFonts w:cs="Tahoma"/>
                <w:sz w:val="20"/>
                <w:szCs w:val="20"/>
              </w:rPr>
              <w:t xml:space="preserve">По-нашему мнению, постановка вопроса о </w:t>
            </w:r>
            <w:proofErr w:type="gramStart"/>
            <w:r w:rsidRPr="000B4AA9">
              <w:rPr>
                <w:rFonts w:cs="Tahoma"/>
                <w:sz w:val="20"/>
                <w:szCs w:val="20"/>
              </w:rPr>
              <w:t>бизнес-планировании</w:t>
            </w:r>
            <w:proofErr w:type="gramEnd"/>
            <w:r w:rsidRPr="000B4AA9">
              <w:rPr>
                <w:rFonts w:cs="Tahoma"/>
                <w:sz w:val="20"/>
                <w:szCs w:val="20"/>
              </w:rPr>
              <w:t xml:space="preserve"> профессиональной деятельности в качестве лицензионного требования, по сути, подменяет требование соответствия профессиональной деятельности на рынке ценных бумаг законодательству - требованием обоснования целесообразности осуществления данной деятельности.</w:t>
            </w:r>
          </w:p>
          <w:p w:rsidR="008560AD" w:rsidRPr="00F0697C" w:rsidRDefault="008560AD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Также</w:t>
            </w:r>
            <w:r w:rsidR="000B4AA9">
              <w:rPr>
                <w:sz w:val="20"/>
                <w:szCs w:val="20"/>
              </w:rPr>
              <w:t xml:space="preserve"> отмечаем, что</w:t>
            </w:r>
            <w:r>
              <w:rPr>
                <w:sz w:val="20"/>
                <w:szCs w:val="20"/>
              </w:rPr>
              <w:t xml:space="preserve"> предполагаемые в проекте Положения ежегодные финансовые затраты на увеличение количества филиалов не согласуются с требованиями п. 2.1.15 проекта, а именно, обеспечение лицензиатом финансовой стабильности и долговременного существования как </w:t>
            </w:r>
            <w:r>
              <w:rPr>
                <w:sz w:val="20"/>
                <w:szCs w:val="20"/>
              </w:rPr>
              <w:lastRenderedPageBreak/>
              <w:t>прибыльной коммерческой организации.</w:t>
            </w:r>
          </w:p>
          <w:p w:rsidR="00084805" w:rsidRPr="00DE4A17" w:rsidRDefault="00084805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703EDC" w:rsidRPr="00B50075" w:rsidTr="00C119E2">
        <w:tc>
          <w:tcPr>
            <w:tcW w:w="914" w:type="dxa"/>
          </w:tcPr>
          <w:p w:rsidR="004D5ECE" w:rsidRDefault="004D5ECE" w:rsidP="00191788">
            <w:pPr>
              <w:spacing w:after="100" w:afterAutospacing="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2.6.10</w:t>
            </w:r>
          </w:p>
        </w:tc>
        <w:tc>
          <w:tcPr>
            <w:tcW w:w="3077" w:type="dxa"/>
          </w:tcPr>
          <w:p w:rsidR="004D5ECE" w:rsidRDefault="004D5ECE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B4557A">
              <w:rPr>
                <w:rFonts w:asciiTheme="minorHAnsi" w:hAnsiTheme="minorHAnsi" w:cs="Tahoma"/>
                <w:sz w:val="20"/>
                <w:szCs w:val="20"/>
              </w:rPr>
              <w:t>наличие у лицензиата, осуществляющего ведение реестров публичных акционерных обществ, филиалов с 1 января 2016 года не менее чем в тридцати субъектах Российской Федерации, с 1 января 2017 года – не менее чем в сорока субъектах Российской Федерации, с 1 января 2018 года – не менее чем в пятидесяти субъектах Российской Федерации, с 1 января 2019 года – не менее чем в шестидесяти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субъектах</w:t>
            </w:r>
            <w:proofErr w:type="gramEnd"/>
            <w:r>
              <w:rPr>
                <w:rFonts w:asciiTheme="minorHAnsi" w:hAnsiTheme="minorHAnsi" w:cs="Tahoma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3063" w:type="dxa"/>
          </w:tcPr>
          <w:p w:rsidR="00AA5495" w:rsidRPr="00AA5495" w:rsidRDefault="00AA5495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AA5495">
              <w:rPr>
                <w:bCs/>
                <w:iCs/>
                <w:sz w:val="20"/>
                <w:szCs w:val="20"/>
              </w:rPr>
              <w:t>Обеспечение л</w:t>
            </w:r>
            <w:r w:rsidRPr="00AA5495">
              <w:rPr>
                <w:sz w:val="20"/>
                <w:szCs w:val="20"/>
              </w:rPr>
              <w:t xml:space="preserve">ицензиатом, осуществляющим ведение реестров публичных акционерных обществ, приема документов от зарегистрированных лиц через свои филиалы и трансфер – агентов (в том числе филиалы других регистраторов и эмитентов, выполняющих </w:t>
            </w:r>
            <w:r w:rsidR="0095075D">
              <w:rPr>
                <w:sz w:val="20"/>
                <w:szCs w:val="20"/>
              </w:rPr>
              <w:t xml:space="preserve">часть </w:t>
            </w:r>
            <w:r w:rsidRPr="00AA5495">
              <w:rPr>
                <w:sz w:val="20"/>
                <w:szCs w:val="20"/>
              </w:rPr>
              <w:t>функци</w:t>
            </w:r>
            <w:r w:rsidR="0095075D">
              <w:rPr>
                <w:sz w:val="20"/>
                <w:szCs w:val="20"/>
              </w:rPr>
              <w:t>й</w:t>
            </w:r>
            <w:r w:rsidRPr="00AA5495">
              <w:rPr>
                <w:sz w:val="20"/>
                <w:szCs w:val="20"/>
              </w:rPr>
              <w:t xml:space="preserve"> </w:t>
            </w:r>
            <w:r w:rsidR="0095075D">
              <w:rPr>
                <w:sz w:val="20"/>
                <w:szCs w:val="20"/>
              </w:rPr>
              <w:t>регистратора</w:t>
            </w:r>
            <w:r w:rsidRPr="00AA5495">
              <w:rPr>
                <w:sz w:val="20"/>
                <w:szCs w:val="20"/>
              </w:rPr>
              <w:t>) либо посредством предоставления возможности обмена документами в электронно-цифровой форме с электронной подписью с зарегистрированными лицами:</w:t>
            </w:r>
          </w:p>
          <w:p w:rsidR="00AA5495" w:rsidRPr="00AA5495" w:rsidRDefault="00AA5495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AA5495">
              <w:rPr>
                <w:bCs/>
                <w:iCs/>
                <w:sz w:val="20"/>
                <w:szCs w:val="20"/>
              </w:rPr>
              <w:t xml:space="preserve">с 1 января 2016 года  - </w:t>
            </w:r>
            <w:r w:rsidRPr="00AA5495">
              <w:rPr>
                <w:sz w:val="20"/>
                <w:szCs w:val="20"/>
              </w:rPr>
              <w:t xml:space="preserve">не менее чем в тридцати субъектах Российской Федерации, </w:t>
            </w:r>
          </w:p>
          <w:p w:rsidR="00AA5495" w:rsidRDefault="00AA5495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AA5495">
              <w:rPr>
                <w:sz w:val="20"/>
                <w:szCs w:val="20"/>
              </w:rPr>
              <w:t xml:space="preserve">с 1 января 2017 года – не менее чем в сорока субъектах Российской Федерации, </w:t>
            </w:r>
          </w:p>
          <w:p w:rsidR="00AA5495" w:rsidRPr="00AA5495" w:rsidRDefault="00AA5495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AA5495">
              <w:rPr>
                <w:sz w:val="20"/>
                <w:szCs w:val="20"/>
              </w:rPr>
              <w:t xml:space="preserve">с 1 января 2018 года – не  менее чем  в пятидесяти  субъектах Российской Федерации, </w:t>
            </w:r>
          </w:p>
          <w:p w:rsidR="00AA5495" w:rsidRPr="00AA5495" w:rsidRDefault="00AA5495" w:rsidP="0019178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AA5495">
              <w:rPr>
                <w:sz w:val="20"/>
                <w:szCs w:val="20"/>
              </w:rPr>
              <w:t xml:space="preserve">с 1 января 2019 года – не менее чем в шестидесяти </w:t>
            </w:r>
            <w:r w:rsidR="00107A08">
              <w:rPr>
                <w:sz w:val="20"/>
                <w:szCs w:val="20"/>
              </w:rPr>
              <w:t>субъектах Российской Федерации.</w:t>
            </w:r>
          </w:p>
          <w:p w:rsidR="00B421FB" w:rsidRPr="00B421FB" w:rsidRDefault="00B421FB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  <w:u w:val="single"/>
              </w:rPr>
            </w:pPr>
          </w:p>
        </w:tc>
        <w:tc>
          <w:tcPr>
            <w:tcW w:w="8866" w:type="dxa"/>
          </w:tcPr>
          <w:p w:rsidR="009002A7" w:rsidRDefault="006449CC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Проект Положения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не уч</w:t>
            </w:r>
            <w:r w:rsidR="004B6365">
              <w:rPr>
                <w:rFonts w:cs="Tahoma"/>
                <w:sz w:val="20"/>
                <w:szCs w:val="20"/>
              </w:rPr>
              <w:t>и</w:t>
            </w:r>
            <w:r w:rsidR="004D5ECE" w:rsidRPr="00B4557A">
              <w:rPr>
                <w:rFonts w:cs="Tahoma"/>
                <w:sz w:val="20"/>
                <w:szCs w:val="20"/>
              </w:rPr>
              <w:t>т</w:t>
            </w:r>
            <w:r w:rsidR="004B6365">
              <w:rPr>
                <w:rFonts w:cs="Tahoma"/>
                <w:sz w:val="20"/>
                <w:szCs w:val="20"/>
              </w:rPr>
              <w:t>ы</w:t>
            </w:r>
            <w:r w:rsidR="00CD78AA">
              <w:rPr>
                <w:rFonts w:cs="Tahoma"/>
                <w:sz w:val="20"/>
                <w:szCs w:val="20"/>
              </w:rPr>
              <w:t>вает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целесообразност</w:t>
            </w:r>
            <w:r w:rsidR="00CD78AA">
              <w:rPr>
                <w:rFonts w:cs="Tahoma"/>
                <w:sz w:val="20"/>
                <w:szCs w:val="20"/>
              </w:rPr>
              <w:t>и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открытия филиал</w:t>
            </w:r>
            <w:r w:rsidR="00CD78AA">
              <w:rPr>
                <w:rFonts w:cs="Tahoma"/>
                <w:sz w:val="20"/>
                <w:szCs w:val="20"/>
              </w:rPr>
              <w:t>ов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регистратором. </w:t>
            </w:r>
          </w:p>
          <w:p w:rsidR="009002A7" w:rsidRPr="00550217" w:rsidRDefault="009002A7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550217">
              <w:rPr>
                <w:rFonts w:cs="Tahoma"/>
                <w:sz w:val="20"/>
                <w:szCs w:val="20"/>
              </w:rPr>
              <w:t xml:space="preserve">В соответствии с действующим законодательством, регистраторская деятельность есть регламентируемый законом вид оплачиваемых услуг, т.е. это бизнес.  Юридическому лицу Конституцией РФ и ГК РФ гарантирована свобода экономической деятельности. В этом смысле хозяйственное общество вправе самостоятельно определять свою структуру, в </w:t>
            </w:r>
            <w:proofErr w:type="spellStart"/>
            <w:r w:rsidRPr="00550217">
              <w:rPr>
                <w:rFonts w:cs="Tahoma"/>
                <w:sz w:val="20"/>
                <w:szCs w:val="20"/>
              </w:rPr>
              <w:t>т.ч</w:t>
            </w:r>
            <w:proofErr w:type="spellEnd"/>
            <w:r w:rsidRPr="00550217">
              <w:rPr>
                <w:rFonts w:cs="Tahoma"/>
                <w:sz w:val="20"/>
                <w:szCs w:val="20"/>
              </w:rPr>
              <w:t xml:space="preserve">. количество структурных подразделений (филиалов) на основе сочетания интересов регистратора и его клиента. Характерно, что </w:t>
            </w:r>
            <w:r w:rsidR="00221C7F">
              <w:rPr>
                <w:rFonts w:cs="Tahoma"/>
                <w:sz w:val="20"/>
                <w:szCs w:val="20"/>
              </w:rPr>
              <w:t xml:space="preserve">для иных профессиональных участников рынка ценных бумаг, а также для кредитных организаций требований </w:t>
            </w:r>
            <w:r w:rsidRPr="00550217">
              <w:rPr>
                <w:rFonts w:cs="Tahoma"/>
                <w:sz w:val="20"/>
                <w:szCs w:val="20"/>
              </w:rPr>
              <w:t xml:space="preserve"> </w:t>
            </w:r>
            <w:r w:rsidR="00221C7F">
              <w:rPr>
                <w:rFonts w:cs="Tahoma"/>
                <w:sz w:val="20"/>
                <w:szCs w:val="20"/>
              </w:rPr>
              <w:t xml:space="preserve">о </w:t>
            </w:r>
            <w:r w:rsidRPr="00550217">
              <w:rPr>
                <w:rFonts w:cs="Tahoma"/>
                <w:sz w:val="20"/>
                <w:szCs w:val="20"/>
              </w:rPr>
              <w:t>наличи</w:t>
            </w:r>
            <w:r w:rsidR="00221C7F">
              <w:rPr>
                <w:rFonts w:cs="Tahoma"/>
                <w:sz w:val="20"/>
                <w:szCs w:val="20"/>
              </w:rPr>
              <w:t>и</w:t>
            </w:r>
            <w:r w:rsidRPr="00550217">
              <w:rPr>
                <w:rFonts w:cs="Tahoma"/>
                <w:sz w:val="20"/>
                <w:szCs w:val="20"/>
              </w:rPr>
              <w:t xml:space="preserve"> филиальной сети в определенном количестве</w:t>
            </w:r>
            <w:r w:rsidR="00221C7F">
              <w:rPr>
                <w:rFonts w:cs="Tahoma"/>
                <w:sz w:val="20"/>
                <w:szCs w:val="20"/>
              </w:rPr>
              <w:t xml:space="preserve"> регулятором не установлено</w:t>
            </w:r>
            <w:r w:rsidRPr="00550217">
              <w:rPr>
                <w:rFonts w:cs="Tahoma"/>
                <w:sz w:val="20"/>
                <w:szCs w:val="20"/>
              </w:rPr>
              <w:t>.</w:t>
            </w:r>
          </w:p>
          <w:p w:rsidR="00221C7F" w:rsidRDefault="00221C7F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</w:t>
            </w:r>
            <w:r w:rsidR="009002A7" w:rsidRPr="00550217">
              <w:rPr>
                <w:rFonts w:cs="Tahoma"/>
                <w:sz w:val="20"/>
                <w:szCs w:val="20"/>
              </w:rPr>
              <w:t>ри этом</w:t>
            </w:r>
            <w:proofErr w:type="gramStart"/>
            <w:r>
              <w:rPr>
                <w:rFonts w:cs="Tahoma"/>
                <w:sz w:val="20"/>
                <w:szCs w:val="20"/>
              </w:rPr>
              <w:t>,</w:t>
            </w:r>
            <w:proofErr w:type="gramEnd"/>
            <w:r w:rsidR="009002A7" w:rsidRPr="00550217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не вполне ясна аргументация введения подобного требования</w:t>
            </w:r>
            <w:r w:rsidR="009002A7" w:rsidRPr="00550217">
              <w:rPr>
                <w:rFonts w:cs="Tahoma"/>
                <w:sz w:val="20"/>
                <w:szCs w:val="20"/>
              </w:rPr>
              <w:t xml:space="preserve">. </w:t>
            </w:r>
          </w:p>
          <w:p w:rsidR="006449CC" w:rsidRDefault="009002A7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550217">
              <w:rPr>
                <w:rFonts w:cs="Tahoma"/>
                <w:sz w:val="20"/>
                <w:szCs w:val="20"/>
              </w:rPr>
              <w:t xml:space="preserve">Во-первых, </w:t>
            </w:r>
            <w:r w:rsidR="0095075D">
              <w:rPr>
                <w:rFonts w:cs="Tahoma"/>
                <w:sz w:val="20"/>
                <w:szCs w:val="20"/>
              </w:rPr>
              <w:t>территория субъекта РФ может измеряться сотнями тысяч кв. км</w:t>
            </w:r>
            <w:proofErr w:type="gramStart"/>
            <w:r w:rsidR="0095075D">
              <w:rPr>
                <w:rFonts w:cs="Tahoma"/>
                <w:sz w:val="20"/>
                <w:szCs w:val="20"/>
              </w:rPr>
              <w:t>.</w:t>
            </w:r>
            <w:proofErr w:type="gramEnd"/>
            <w:r w:rsidRPr="00550217">
              <w:rPr>
                <w:rFonts w:cs="Tahoma"/>
                <w:sz w:val="20"/>
                <w:szCs w:val="20"/>
              </w:rPr>
              <w:t xml:space="preserve"> – </w:t>
            </w:r>
            <w:proofErr w:type="gramStart"/>
            <w:r w:rsidRPr="00550217">
              <w:rPr>
                <w:rFonts w:cs="Tahoma"/>
                <w:sz w:val="20"/>
                <w:szCs w:val="20"/>
              </w:rPr>
              <w:t>в</w:t>
            </w:r>
            <w:proofErr w:type="gramEnd"/>
            <w:r w:rsidRPr="00550217">
              <w:rPr>
                <w:rFonts w:cs="Tahoma"/>
                <w:sz w:val="20"/>
                <w:szCs w:val="20"/>
              </w:rPr>
              <w:t xml:space="preserve"> любом случае </w:t>
            </w:r>
            <w:r w:rsidR="006449CC">
              <w:rPr>
                <w:rFonts w:cs="Tahoma"/>
                <w:sz w:val="20"/>
                <w:szCs w:val="20"/>
              </w:rPr>
              <w:t xml:space="preserve">пешеходная  </w:t>
            </w:r>
            <w:r w:rsidR="0095075D">
              <w:rPr>
                <w:rFonts w:cs="Tahoma"/>
                <w:sz w:val="20"/>
                <w:szCs w:val="20"/>
              </w:rPr>
              <w:t xml:space="preserve">доступность для акционера </w:t>
            </w:r>
            <w:r w:rsidR="006449CC">
              <w:rPr>
                <w:rFonts w:cs="Tahoma"/>
                <w:sz w:val="20"/>
                <w:szCs w:val="20"/>
              </w:rPr>
              <w:t xml:space="preserve">не </w:t>
            </w:r>
            <w:r w:rsidR="0095075D">
              <w:rPr>
                <w:rFonts w:cs="Tahoma"/>
                <w:sz w:val="20"/>
                <w:szCs w:val="20"/>
              </w:rPr>
              <w:t>может быть обеспечена</w:t>
            </w:r>
            <w:r w:rsidRPr="00550217">
              <w:rPr>
                <w:rFonts w:cs="Tahoma"/>
                <w:sz w:val="20"/>
                <w:szCs w:val="20"/>
              </w:rPr>
              <w:t xml:space="preserve">. </w:t>
            </w:r>
          </w:p>
          <w:p w:rsidR="004D5ECE" w:rsidRPr="00B4557A" w:rsidRDefault="006449CC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Во-вторых, п</w:t>
            </w:r>
            <w:r w:rsidR="004D5ECE" w:rsidRPr="00B4557A">
              <w:rPr>
                <w:rFonts w:cs="Tahoma"/>
                <w:sz w:val="20"/>
                <w:szCs w:val="20"/>
              </w:rPr>
              <w:t>ри отсутствии в субъекте РФ</w:t>
            </w:r>
            <w:r>
              <w:rPr>
                <w:rFonts w:cs="Tahoma"/>
                <w:sz w:val="20"/>
                <w:szCs w:val="20"/>
              </w:rPr>
              <w:t xml:space="preserve"> сколько-нибудь значимого количества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потребителя</w:t>
            </w:r>
            <w:r>
              <w:rPr>
                <w:rFonts w:cs="Tahoma"/>
                <w:sz w:val="20"/>
                <w:szCs w:val="20"/>
              </w:rPr>
              <w:t xml:space="preserve"> услуг регистратора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(зарегистрированных лиц в обслуживаемом реестре) отсутствует необходимость открытия филиала регистратора. </w:t>
            </w:r>
            <w:r>
              <w:rPr>
                <w:rFonts w:cs="Tahoma"/>
                <w:sz w:val="20"/>
                <w:szCs w:val="20"/>
              </w:rPr>
              <w:t>П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ри изменении </w:t>
            </w:r>
            <w:r>
              <w:rPr>
                <w:rFonts w:cs="Tahoma"/>
                <w:sz w:val="20"/>
                <w:szCs w:val="20"/>
              </w:rPr>
              <w:t>места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проживания</w:t>
            </w:r>
            <w:r w:rsidR="00DD4713">
              <w:rPr>
                <w:rFonts w:cs="Tahoma"/>
                <w:sz w:val="20"/>
                <w:szCs w:val="20"/>
              </w:rPr>
              <w:t>,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акционер</w:t>
            </w:r>
            <w:r>
              <w:rPr>
                <w:rFonts w:cs="Tahoma"/>
                <w:sz w:val="20"/>
                <w:szCs w:val="20"/>
              </w:rPr>
              <w:t>ы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могут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обратиться к</w:t>
            </w:r>
            <w:r w:rsidR="00DD4713">
              <w:rPr>
                <w:rFonts w:cs="Tahoma"/>
                <w:sz w:val="20"/>
                <w:szCs w:val="20"/>
              </w:rPr>
              <w:t xml:space="preserve"> </w:t>
            </w:r>
            <w:proofErr w:type="gramStart"/>
            <w:r w:rsidR="00DD4713">
              <w:rPr>
                <w:rFonts w:cs="Tahoma"/>
                <w:sz w:val="20"/>
                <w:szCs w:val="20"/>
              </w:rPr>
              <w:t>ближайшему</w:t>
            </w:r>
            <w:proofErr w:type="gramEnd"/>
            <w:r w:rsidR="004D5ECE" w:rsidRPr="00B4557A">
              <w:rPr>
                <w:rFonts w:cs="Tahoma"/>
                <w:sz w:val="20"/>
                <w:szCs w:val="20"/>
              </w:rPr>
              <w:t xml:space="preserve"> трансфер-агенту и </w:t>
            </w:r>
            <w:r w:rsidR="0095075D">
              <w:rPr>
                <w:rFonts w:cs="Tahoma"/>
                <w:sz w:val="20"/>
                <w:szCs w:val="20"/>
              </w:rPr>
              <w:t>получить услугу в полном объеме,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</w:t>
            </w:r>
            <w:r w:rsidR="0095075D">
              <w:rPr>
                <w:rFonts w:cs="Tahoma"/>
                <w:sz w:val="20"/>
                <w:szCs w:val="20"/>
              </w:rPr>
              <w:t>ч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то в настоящий момент </w:t>
            </w:r>
            <w:r w:rsidR="0095075D">
              <w:rPr>
                <w:rFonts w:cs="Tahoma"/>
                <w:sz w:val="20"/>
                <w:szCs w:val="20"/>
              </w:rPr>
              <w:t>используется</w:t>
            </w:r>
            <w:r w:rsidR="004D5ECE" w:rsidRPr="00B4557A">
              <w:rPr>
                <w:rFonts w:cs="Tahoma"/>
                <w:sz w:val="20"/>
                <w:szCs w:val="20"/>
              </w:rPr>
              <w:t xml:space="preserve"> всеми регистраторами.</w:t>
            </w:r>
          </w:p>
          <w:p w:rsidR="00221C7F" w:rsidRPr="00E04BE8" w:rsidRDefault="00221C7F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E04BE8">
              <w:rPr>
                <w:rFonts w:cs="Tahoma"/>
                <w:sz w:val="20"/>
                <w:szCs w:val="20"/>
              </w:rPr>
              <w:t>Также обращаем внимание, что акционеры, зарегистрирова</w:t>
            </w:r>
            <w:r>
              <w:rPr>
                <w:rFonts w:cs="Tahoma"/>
                <w:sz w:val="20"/>
                <w:szCs w:val="20"/>
              </w:rPr>
              <w:t>нные в реестрах акционерных обще</w:t>
            </w:r>
            <w:r w:rsidRPr="00E04BE8">
              <w:rPr>
                <w:rFonts w:cs="Tahoma"/>
                <w:sz w:val="20"/>
                <w:szCs w:val="20"/>
              </w:rPr>
              <w:t>ств, не являются активными участниками операций с ценными бумагами</w:t>
            </w:r>
            <w:r w:rsidR="00DD4713">
              <w:rPr>
                <w:rFonts w:cs="Tahoma"/>
                <w:sz w:val="20"/>
                <w:szCs w:val="20"/>
              </w:rPr>
              <w:t xml:space="preserve"> (активные операции с ценными бумагами обычно осуществляются через депозитарии)</w:t>
            </w:r>
            <w:r w:rsidRPr="00E04BE8">
              <w:rPr>
                <w:rFonts w:cs="Tahoma"/>
                <w:sz w:val="20"/>
                <w:szCs w:val="20"/>
              </w:rPr>
              <w:t>. Следовательно, обеспечить безубыточность филиала за счет проводимых операций невозможно. В свою очередь</w:t>
            </w:r>
            <w:r w:rsidR="004B6365">
              <w:rPr>
                <w:rFonts w:cs="Tahoma"/>
                <w:sz w:val="20"/>
                <w:szCs w:val="20"/>
              </w:rPr>
              <w:t>,</w:t>
            </w:r>
            <w:r w:rsidRPr="00E04BE8">
              <w:rPr>
                <w:rFonts w:cs="Tahoma"/>
                <w:sz w:val="20"/>
                <w:szCs w:val="20"/>
              </w:rPr>
              <w:t xml:space="preserve"> регистратор будет пытаться</w:t>
            </w:r>
            <w:r w:rsidR="004B6365">
              <w:rPr>
                <w:rFonts w:cs="Tahoma"/>
                <w:sz w:val="20"/>
                <w:szCs w:val="20"/>
              </w:rPr>
              <w:t xml:space="preserve"> компенсировать расходы за счет</w:t>
            </w:r>
            <w:r w:rsidRPr="00E04BE8">
              <w:rPr>
                <w:rFonts w:cs="Tahoma"/>
                <w:sz w:val="20"/>
                <w:szCs w:val="20"/>
              </w:rPr>
              <w:t xml:space="preserve"> повышения абонент</w:t>
            </w:r>
            <w:r w:rsidR="00DD4713">
              <w:rPr>
                <w:rFonts w:cs="Tahoma"/>
                <w:sz w:val="20"/>
                <w:szCs w:val="20"/>
              </w:rPr>
              <w:t>ской платы эмитентам, что, о</w:t>
            </w:r>
            <w:r w:rsidRPr="00E04BE8">
              <w:rPr>
                <w:rFonts w:cs="Tahoma"/>
                <w:sz w:val="20"/>
                <w:szCs w:val="20"/>
              </w:rPr>
              <w:t xml:space="preserve">чевидно, </w:t>
            </w:r>
            <w:r w:rsidR="0095075D">
              <w:rPr>
                <w:rFonts w:cs="Tahoma"/>
                <w:sz w:val="20"/>
                <w:szCs w:val="20"/>
              </w:rPr>
              <w:t>не найдет понимания</w:t>
            </w:r>
            <w:r w:rsidRPr="00E04BE8">
              <w:rPr>
                <w:rFonts w:cs="Tahoma"/>
                <w:sz w:val="20"/>
                <w:szCs w:val="20"/>
              </w:rPr>
              <w:t xml:space="preserve"> у эмитентов.  </w:t>
            </w:r>
          </w:p>
          <w:p w:rsidR="004D5ECE" w:rsidRPr="00550217" w:rsidRDefault="00221C7F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Отмечаем, что п</w:t>
            </w:r>
            <w:r w:rsidR="004D5ECE" w:rsidRPr="00550217">
              <w:rPr>
                <w:rFonts w:cs="Tahoma"/>
                <w:sz w:val="20"/>
                <w:szCs w:val="20"/>
              </w:rPr>
              <w:t>ри выборе регистратора, Совет директоров эмитента принимает во внимание потенциал регистратора, его возможности по созданию благоприятных условий для обслуживания акционеров и</w:t>
            </w:r>
            <w:r w:rsidR="004B6365">
              <w:rPr>
                <w:rFonts w:cs="Tahoma"/>
                <w:sz w:val="20"/>
                <w:szCs w:val="20"/>
              </w:rPr>
              <w:t>,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 при необходимости</w:t>
            </w:r>
            <w:r w:rsidR="004B6365">
              <w:rPr>
                <w:rFonts w:cs="Tahoma"/>
                <w:sz w:val="20"/>
                <w:szCs w:val="20"/>
              </w:rPr>
              <w:t>,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 выдвигает требование по открытию дополнительных филиалов, </w:t>
            </w:r>
            <w:r w:rsidR="004D5ECE" w:rsidRPr="00550217">
              <w:rPr>
                <w:rFonts w:cs="Tahoma"/>
                <w:sz w:val="20"/>
                <w:szCs w:val="20"/>
              </w:rPr>
              <w:lastRenderedPageBreak/>
              <w:t xml:space="preserve">либо трансфер - агентских пунктов. </w:t>
            </w:r>
          </w:p>
          <w:p w:rsidR="004D5ECE" w:rsidRPr="00550217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550217">
              <w:rPr>
                <w:rFonts w:cs="Tahoma"/>
                <w:sz w:val="20"/>
                <w:szCs w:val="20"/>
              </w:rPr>
              <w:t>Искусственное создание филиальной сети для соблюдения лицензионных требований влечет существенный рост затрат регистратора, которые</w:t>
            </w:r>
            <w:r w:rsidR="004B6365">
              <w:rPr>
                <w:rFonts w:cs="Tahoma"/>
                <w:sz w:val="20"/>
                <w:szCs w:val="20"/>
              </w:rPr>
              <w:t>, как отмечалось,</w:t>
            </w:r>
            <w:r w:rsidRPr="00550217">
              <w:rPr>
                <w:rFonts w:cs="Tahoma"/>
                <w:sz w:val="20"/>
                <w:szCs w:val="20"/>
              </w:rPr>
              <w:t xml:space="preserve"> будут перенесены на стоимость услуг регистратора для обслуживаемых эмитентов.</w:t>
            </w:r>
          </w:p>
          <w:p w:rsidR="004D5ECE" w:rsidRPr="00550217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550217">
              <w:rPr>
                <w:rFonts w:cs="Tahoma"/>
                <w:sz w:val="20"/>
                <w:szCs w:val="20"/>
              </w:rPr>
              <w:t>Предлагаемые лицензионные требования приведут к ликвидации части регистраторов, а, следовательно, к снижению конкуренции, монополизации рынка регистраторских услуг, и</w:t>
            </w:r>
            <w:r w:rsidR="0095075D">
              <w:rPr>
                <w:rFonts w:cs="Tahoma"/>
                <w:sz w:val="20"/>
                <w:szCs w:val="20"/>
              </w:rPr>
              <w:t>,</w:t>
            </w:r>
            <w:r w:rsidRPr="00550217">
              <w:rPr>
                <w:rFonts w:cs="Tahoma"/>
                <w:sz w:val="20"/>
                <w:szCs w:val="20"/>
              </w:rPr>
              <w:t xml:space="preserve"> как следствие</w:t>
            </w:r>
            <w:r w:rsidR="0095075D">
              <w:rPr>
                <w:rFonts w:cs="Tahoma"/>
                <w:sz w:val="20"/>
                <w:szCs w:val="20"/>
              </w:rPr>
              <w:t>,</w:t>
            </w:r>
            <w:r w:rsidRPr="00550217">
              <w:rPr>
                <w:rFonts w:cs="Tahoma"/>
                <w:sz w:val="20"/>
                <w:szCs w:val="20"/>
              </w:rPr>
              <w:t xml:space="preserve"> к </w:t>
            </w:r>
            <w:r w:rsidR="004B6365">
              <w:rPr>
                <w:rFonts w:cs="Tahoma"/>
                <w:sz w:val="20"/>
                <w:szCs w:val="20"/>
              </w:rPr>
              <w:t xml:space="preserve">дополнительному </w:t>
            </w:r>
            <w:r w:rsidRPr="00550217">
              <w:rPr>
                <w:rFonts w:cs="Tahoma"/>
                <w:sz w:val="20"/>
                <w:szCs w:val="20"/>
              </w:rPr>
              <w:t xml:space="preserve">росту </w:t>
            </w:r>
            <w:r w:rsidR="003E39EC">
              <w:rPr>
                <w:rFonts w:cs="Tahoma"/>
                <w:sz w:val="20"/>
                <w:szCs w:val="20"/>
              </w:rPr>
              <w:t>их стоимости</w:t>
            </w:r>
            <w:r w:rsidRPr="00550217">
              <w:rPr>
                <w:rFonts w:cs="Tahoma"/>
                <w:sz w:val="20"/>
                <w:szCs w:val="20"/>
              </w:rPr>
              <w:t>.</w:t>
            </w:r>
          </w:p>
          <w:p w:rsidR="004B6365" w:rsidRDefault="00DD4713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 целью обеспечения доступности услуг регистраторов для акционеров с</w:t>
            </w:r>
            <w:r w:rsidR="004D5ECE" w:rsidRPr="00550217">
              <w:rPr>
                <w:rFonts w:cs="Tahoma"/>
                <w:sz w:val="20"/>
                <w:szCs w:val="20"/>
              </w:rPr>
              <w:t>читаем наиболее правильным, экономически оправданным и эффективным использова</w:t>
            </w:r>
            <w:r>
              <w:rPr>
                <w:rFonts w:cs="Tahoma"/>
                <w:sz w:val="20"/>
                <w:szCs w:val="20"/>
              </w:rPr>
              <w:t>ние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 </w:t>
            </w:r>
            <w:r w:rsidR="0095075D">
              <w:rPr>
                <w:rFonts w:cs="Tahoma"/>
                <w:sz w:val="20"/>
                <w:szCs w:val="20"/>
              </w:rPr>
              <w:t>институт</w:t>
            </w:r>
            <w:r>
              <w:rPr>
                <w:rFonts w:cs="Tahoma"/>
                <w:sz w:val="20"/>
                <w:szCs w:val="20"/>
              </w:rPr>
              <w:t>а</w:t>
            </w:r>
            <w:r w:rsidR="0095075D">
              <w:rPr>
                <w:rFonts w:cs="Tahoma"/>
                <w:sz w:val="20"/>
                <w:szCs w:val="20"/>
              </w:rPr>
              <w:t xml:space="preserve"> </w:t>
            </w:r>
            <w:r w:rsidR="004D5ECE" w:rsidRPr="00550217">
              <w:rPr>
                <w:rFonts w:cs="Tahoma"/>
                <w:sz w:val="20"/>
                <w:szCs w:val="20"/>
              </w:rPr>
              <w:t>трансфер – агентского пространства (ТАП), котор</w:t>
            </w:r>
            <w:r w:rsidR="0095075D">
              <w:rPr>
                <w:rFonts w:cs="Tahoma"/>
                <w:sz w:val="20"/>
                <w:szCs w:val="20"/>
              </w:rPr>
              <w:t xml:space="preserve">ый способен охватить 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 все субъект</w:t>
            </w:r>
            <w:r w:rsidR="0095075D">
              <w:rPr>
                <w:rFonts w:cs="Tahoma"/>
                <w:sz w:val="20"/>
                <w:szCs w:val="20"/>
              </w:rPr>
              <w:t>ы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 РФ </w:t>
            </w:r>
            <w:r w:rsidR="0095075D">
              <w:rPr>
                <w:rFonts w:cs="Tahoma"/>
                <w:sz w:val="20"/>
                <w:szCs w:val="20"/>
              </w:rPr>
              <w:t>через взаимные трансфер-агентские отношения регистраторов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, связанных между собой договорами и системой электронного документооборота. </w:t>
            </w:r>
            <w:r w:rsidR="0095075D">
              <w:rPr>
                <w:rFonts w:cs="Tahoma"/>
                <w:sz w:val="20"/>
                <w:szCs w:val="20"/>
              </w:rPr>
              <w:t>ТАП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 позволяет обеспечить возможность зарегистрированному лицу любого акционерного общества обратиться в любой регистратор (его структурное подразделение) на территории субъекта РФ и в установленные сроки получить необходимую услугу.</w:t>
            </w:r>
            <w:r w:rsidR="00221C7F">
              <w:rPr>
                <w:rFonts w:cs="Tahoma"/>
                <w:sz w:val="20"/>
                <w:szCs w:val="20"/>
              </w:rPr>
              <w:t xml:space="preserve"> </w:t>
            </w:r>
            <w:r w:rsidR="004D5ECE" w:rsidRPr="00550217">
              <w:rPr>
                <w:rFonts w:cs="Tahoma"/>
                <w:sz w:val="20"/>
                <w:szCs w:val="20"/>
              </w:rPr>
              <w:t>При этом</w:t>
            </w:r>
            <w:proofErr w:type="gramStart"/>
            <w:r w:rsidR="00467A3E">
              <w:rPr>
                <w:rFonts w:cs="Tahoma"/>
                <w:sz w:val="20"/>
                <w:szCs w:val="20"/>
              </w:rPr>
              <w:t>,</w:t>
            </w:r>
            <w:proofErr w:type="gramEnd"/>
            <w:r w:rsidR="004D5ECE" w:rsidRPr="00550217">
              <w:rPr>
                <w:rFonts w:cs="Tahoma"/>
                <w:sz w:val="20"/>
                <w:szCs w:val="20"/>
              </w:rPr>
              <w:t xml:space="preserve"> публичные компании  смогут избежать дополнительных расходов в размере 1,5 – 2 млрд. рублей, которые закономерно возникнут в связи с </w:t>
            </w:r>
            <w:r>
              <w:rPr>
                <w:rFonts w:cs="Tahoma"/>
                <w:sz w:val="20"/>
                <w:szCs w:val="20"/>
              </w:rPr>
              <w:t xml:space="preserve">необходимостью </w:t>
            </w:r>
            <w:r w:rsidR="004D5ECE" w:rsidRPr="00550217">
              <w:rPr>
                <w:rFonts w:cs="Tahoma"/>
                <w:sz w:val="20"/>
                <w:szCs w:val="20"/>
              </w:rPr>
              <w:t>развити</w:t>
            </w:r>
            <w:r>
              <w:rPr>
                <w:rFonts w:cs="Tahoma"/>
                <w:sz w:val="20"/>
                <w:szCs w:val="20"/>
              </w:rPr>
              <w:t>я</w:t>
            </w:r>
            <w:r w:rsidR="004D5ECE" w:rsidRPr="00550217">
              <w:rPr>
                <w:rFonts w:cs="Tahoma"/>
                <w:sz w:val="20"/>
                <w:szCs w:val="20"/>
              </w:rPr>
              <w:t xml:space="preserve"> филиальной сети регистрато</w:t>
            </w:r>
            <w:bookmarkStart w:id="0" w:name="_GoBack"/>
            <w:bookmarkEnd w:id="0"/>
            <w:r w:rsidR="004D5ECE" w:rsidRPr="00550217">
              <w:rPr>
                <w:rFonts w:cs="Tahoma"/>
                <w:sz w:val="20"/>
                <w:szCs w:val="20"/>
              </w:rPr>
              <w:t>ров.</w:t>
            </w:r>
            <w:r w:rsidR="00221C7F">
              <w:rPr>
                <w:rFonts w:cs="Tahoma"/>
                <w:sz w:val="20"/>
                <w:szCs w:val="20"/>
              </w:rPr>
              <w:t xml:space="preserve"> </w:t>
            </w:r>
          </w:p>
          <w:p w:rsidR="00221C7F" w:rsidRDefault="00221C7F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E04BE8">
              <w:rPr>
                <w:rFonts w:cs="Tahoma"/>
                <w:sz w:val="20"/>
                <w:szCs w:val="20"/>
              </w:rPr>
              <w:t xml:space="preserve">Стоит отметить, что </w:t>
            </w:r>
            <w:r w:rsidR="00DD4713">
              <w:rPr>
                <w:rFonts w:cs="Tahoma"/>
                <w:sz w:val="20"/>
                <w:szCs w:val="20"/>
              </w:rPr>
              <w:t xml:space="preserve">даже </w:t>
            </w:r>
            <w:r w:rsidRPr="00E04BE8">
              <w:rPr>
                <w:rFonts w:cs="Tahoma"/>
                <w:sz w:val="20"/>
                <w:szCs w:val="20"/>
              </w:rPr>
              <w:t xml:space="preserve">повышение эффективности оказания государственных услуг достигается </w:t>
            </w:r>
            <w:r w:rsidR="00DD4713">
              <w:rPr>
                <w:rFonts w:cs="Tahoma"/>
                <w:sz w:val="20"/>
                <w:szCs w:val="20"/>
              </w:rPr>
              <w:t xml:space="preserve">в настоящее время </w:t>
            </w:r>
            <w:r w:rsidRPr="00E04BE8">
              <w:rPr>
                <w:rFonts w:cs="Tahoma"/>
                <w:sz w:val="20"/>
                <w:szCs w:val="20"/>
              </w:rPr>
              <w:t xml:space="preserve">с помощью </w:t>
            </w:r>
            <w:r w:rsidR="00DD4713">
              <w:rPr>
                <w:rFonts w:cs="Tahoma"/>
                <w:sz w:val="20"/>
                <w:szCs w:val="20"/>
              </w:rPr>
              <w:t xml:space="preserve">широкого </w:t>
            </w:r>
            <w:r w:rsidR="005749BD">
              <w:rPr>
                <w:rFonts w:cs="Tahoma"/>
                <w:sz w:val="20"/>
                <w:szCs w:val="20"/>
              </w:rPr>
              <w:t>внедрения именно технологий ЭДО.</w:t>
            </w:r>
            <w:r w:rsidRPr="00E04BE8">
              <w:rPr>
                <w:rFonts w:cs="Tahoma"/>
                <w:sz w:val="20"/>
                <w:szCs w:val="20"/>
              </w:rPr>
              <w:t xml:space="preserve"> </w:t>
            </w:r>
            <w:r w:rsidR="005749BD">
              <w:rPr>
                <w:rFonts w:cs="Tahoma"/>
                <w:sz w:val="20"/>
                <w:szCs w:val="20"/>
              </w:rPr>
              <w:t>Т</w:t>
            </w:r>
            <w:r>
              <w:rPr>
                <w:rFonts w:cs="Tahoma"/>
                <w:sz w:val="20"/>
                <w:szCs w:val="20"/>
              </w:rPr>
              <w:t>аким образом,</w:t>
            </w:r>
            <w:r w:rsidRPr="00E04BE8">
              <w:rPr>
                <w:rFonts w:cs="Tahoma"/>
                <w:sz w:val="20"/>
                <w:szCs w:val="20"/>
              </w:rPr>
              <w:t xml:space="preserve"> альтернатив</w:t>
            </w:r>
            <w:r>
              <w:rPr>
                <w:rFonts w:cs="Tahoma"/>
                <w:sz w:val="20"/>
                <w:szCs w:val="20"/>
              </w:rPr>
              <w:t>ой</w:t>
            </w:r>
            <w:r w:rsidRPr="00E04BE8">
              <w:rPr>
                <w:rFonts w:cs="Tahoma"/>
                <w:sz w:val="20"/>
                <w:szCs w:val="20"/>
              </w:rPr>
              <w:t xml:space="preserve"> </w:t>
            </w:r>
            <w:r w:rsidR="00191788">
              <w:rPr>
                <w:rFonts w:cs="Tahoma"/>
                <w:sz w:val="20"/>
                <w:szCs w:val="20"/>
              </w:rPr>
              <w:t xml:space="preserve">предлагаемым в проекте Положения инициативам </w:t>
            </w:r>
            <w:r>
              <w:rPr>
                <w:rFonts w:cs="Tahoma"/>
                <w:sz w:val="20"/>
                <w:szCs w:val="20"/>
              </w:rPr>
              <w:t xml:space="preserve">является </w:t>
            </w:r>
            <w:r w:rsidRPr="00E04BE8">
              <w:rPr>
                <w:rFonts w:cs="Tahoma"/>
                <w:sz w:val="20"/>
                <w:szCs w:val="20"/>
              </w:rPr>
              <w:t>введени</w:t>
            </w:r>
            <w:r>
              <w:rPr>
                <w:rFonts w:cs="Tahoma"/>
                <w:sz w:val="20"/>
                <w:szCs w:val="20"/>
              </w:rPr>
              <w:t>е</w:t>
            </w:r>
            <w:r w:rsidRPr="00E04BE8">
              <w:rPr>
                <w:rFonts w:cs="Tahoma"/>
                <w:sz w:val="20"/>
                <w:szCs w:val="20"/>
              </w:rPr>
              <w:t xml:space="preserve"> обязательны</w:t>
            </w:r>
            <w:r>
              <w:rPr>
                <w:rFonts w:cs="Tahoma"/>
                <w:sz w:val="20"/>
                <w:szCs w:val="20"/>
              </w:rPr>
              <w:t>х</w:t>
            </w:r>
            <w:r w:rsidRPr="00E04BE8">
              <w:rPr>
                <w:rFonts w:cs="Tahoma"/>
                <w:sz w:val="20"/>
                <w:szCs w:val="20"/>
              </w:rPr>
              <w:t xml:space="preserve"> требовани</w:t>
            </w:r>
            <w:r>
              <w:rPr>
                <w:rFonts w:cs="Tahoma"/>
                <w:sz w:val="20"/>
                <w:szCs w:val="20"/>
              </w:rPr>
              <w:t>й</w:t>
            </w:r>
            <w:r w:rsidRPr="00E04BE8">
              <w:rPr>
                <w:rFonts w:cs="Tahoma"/>
                <w:sz w:val="20"/>
                <w:szCs w:val="20"/>
              </w:rPr>
              <w:t xml:space="preserve"> об  обеспечении возможности ЭДО с каждым зарегистрированным лицом.</w:t>
            </w:r>
          </w:p>
          <w:p w:rsidR="004D5ECE" w:rsidRPr="00E04BE8" w:rsidRDefault="00714201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>Исходя из изложенного, п</w:t>
            </w:r>
            <w:r w:rsidR="004D5ECE" w:rsidRPr="00E04BE8">
              <w:rPr>
                <w:rFonts w:cs="Tahoma"/>
                <w:sz w:val="20"/>
                <w:szCs w:val="20"/>
              </w:rPr>
              <w:t>олагаем, что равные условия доступа</w:t>
            </w:r>
            <w:r w:rsidR="004B6365">
              <w:rPr>
                <w:rFonts w:cs="Tahoma"/>
                <w:sz w:val="20"/>
                <w:szCs w:val="20"/>
              </w:rPr>
              <w:t xml:space="preserve"> зарегистрированных лиц </w:t>
            </w:r>
            <w:r w:rsidR="004D5ECE" w:rsidRPr="00E04BE8">
              <w:rPr>
                <w:rFonts w:cs="Tahoma"/>
                <w:sz w:val="20"/>
                <w:szCs w:val="20"/>
              </w:rPr>
              <w:t xml:space="preserve"> к услугам регистратора обеспечены требованиями действующего законодательства: (трансфер-агентское обслуживание, возможность </w:t>
            </w:r>
            <w:r w:rsidR="004B6365">
              <w:rPr>
                <w:rFonts w:cs="Tahoma"/>
                <w:sz w:val="20"/>
                <w:szCs w:val="20"/>
              </w:rPr>
              <w:t>выполнения</w:t>
            </w:r>
            <w:r w:rsidR="004D5ECE" w:rsidRPr="00E04BE8">
              <w:rPr>
                <w:rFonts w:cs="Tahoma"/>
                <w:sz w:val="20"/>
                <w:szCs w:val="20"/>
              </w:rPr>
              <w:t xml:space="preserve"> эмитентом части функций регистратора, возможность использования </w:t>
            </w:r>
            <w:r>
              <w:rPr>
                <w:rFonts w:cs="Tahoma"/>
                <w:sz w:val="20"/>
                <w:szCs w:val="20"/>
              </w:rPr>
              <w:t>электронного документооборота</w:t>
            </w:r>
            <w:r w:rsidR="004D5ECE" w:rsidRPr="00E04BE8">
              <w:rPr>
                <w:rFonts w:cs="Tahoma"/>
                <w:sz w:val="20"/>
                <w:szCs w:val="20"/>
              </w:rPr>
              <w:t xml:space="preserve">). </w:t>
            </w:r>
            <w:proofErr w:type="gramEnd"/>
          </w:p>
          <w:p w:rsidR="004D5ECE" w:rsidRPr="00E04BE8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E04BE8">
              <w:rPr>
                <w:rFonts w:cs="Tahoma"/>
                <w:sz w:val="20"/>
                <w:szCs w:val="20"/>
              </w:rPr>
              <w:t>Кроме того</w:t>
            </w:r>
            <w:r w:rsidR="00B1159A">
              <w:rPr>
                <w:rFonts w:cs="Tahoma"/>
                <w:sz w:val="20"/>
                <w:szCs w:val="20"/>
              </w:rPr>
              <w:t xml:space="preserve">, на практике регистраторами используются следующие сервисы, дополнительно обеспечивающие доступ </w:t>
            </w:r>
            <w:r w:rsidR="004B6365">
              <w:rPr>
                <w:rFonts w:cs="Tahoma"/>
                <w:sz w:val="20"/>
                <w:szCs w:val="20"/>
              </w:rPr>
              <w:t xml:space="preserve">к </w:t>
            </w:r>
            <w:r w:rsidR="00191788">
              <w:rPr>
                <w:rFonts w:cs="Tahoma"/>
                <w:sz w:val="20"/>
                <w:szCs w:val="20"/>
              </w:rPr>
              <w:t xml:space="preserve">их </w:t>
            </w:r>
            <w:r w:rsidR="004B6365">
              <w:rPr>
                <w:rFonts w:cs="Tahoma"/>
                <w:sz w:val="20"/>
                <w:szCs w:val="20"/>
              </w:rPr>
              <w:t>услугам</w:t>
            </w:r>
            <w:r w:rsidRPr="00E04BE8">
              <w:rPr>
                <w:rFonts w:cs="Tahoma"/>
                <w:sz w:val="20"/>
                <w:szCs w:val="20"/>
              </w:rPr>
              <w:t>:</w:t>
            </w:r>
          </w:p>
          <w:p w:rsidR="004D5ECE" w:rsidRPr="00E04BE8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E04BE8">
              <w:rPr>
                <w:rFonts w:cs="Tahoma"/>
                <w:sz w:val="20"/>
                <w:szCs w:val="20"/>
              </w:rPr>
              <w:t>- регистратор</w:t>
            </w:r>
            <w:r w:rsidR="004B6365">
              <w:rPr>
                <w:rFonts w:cs="Tahoma"/>
                <w:sz w:val="20"/>
                <w:szCs w:val="20"/>
              </w:rPr>
              <w:t>ами</w:t>
            </w:r>
            <w:r w:rsidRPr="00E04BE8">
              <w:rPr>
                <w:rFonts w:cs="Tahoma"/>
                <w:sz w:val="20"/>
                <w:szCs w:val="20"/>
              </w:rPr>
              <w:t xml:space="preserve"> принимаются и обрабатываются документы и письма  зарегистрированных лиц, поступающие посредством почтовой связи;</w:t>
            </w:r>
          </w:p>
          <w:p w:rsidR="004D5ECE" w:rsidRPr="00E04BE8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E04BE8">
              <w:rPr>
                <w:rFonts w:cs="Tahoma"/>
                <w:sz w:val="20"/>
                <w:szCs w:val="20"/>
              </w:rPr>
              <w:t xml:space="preserve">- предусмотрена возможность по заполнению документов в электронном виде на сайте регистратора; </w:t>
            </w:r>
          </w:p>
          <w:p w:rsidR="004D5ECE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E04BE8">
              <w:rPr>
                <w:rFonts w:cs="Tahoma"/>
                <w:sz w:val="20"/>
                <w:szCs w:val="20"/>
              </w:rPr>
              <w:t>- предусмотрена возможность выезда работника</w:t>
            </w:r>
            <w:r>
              <w:t xml:space="preserve"> </w:t>
            </w:r>
            <w:r w:rsidRPr="00E04BE8">
              <w:rPr>
                <w:rFonts w:cs="Tahoma"/>
                <w:sz w:val="20"/>
                <w:szCs w:val="20"/>
              </w:rPr>
              <w:t xml:space="preserve">регистратора для обеспечения приема документов </w:t>
            </w:r>
            <w:r w:rsidRPr="00E04BE8">
              <w:rPr>
                <w:rFonts w:cs="Tahoma"/>
                <w:sz w:val="20"/>
                <w:szCs w:val="20"/>
              </w:rPr>
              <w:lastRenderedPageBreak/>
              <w:t>от зарегистрированных лиц и т.д.</w:t>
            </w:r>
          </w:p>
          <w:p w:rsidR="00191788" w:rsidRDefault="00191788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703EDC" w:rsidRPr="00B50075" w:rsidTr="00C119E2">
        <w:tc>
          <w:tcPr>
            <w:tcW w:w="914" w:type="dxa"/>
          </w:tcPr>
          <w:p w:rsidR="004D5ECE" w:rsidRPr="00B50075" w:rsidRDefault="004D5ECE" w:rsidP="00191788">
            <w:pPr>
              <w:spacing w:after="100" w:afterAutospacing="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3.12.2</w:t>
            </w:r>
          </w:p>
        </w:tc>
        <w:tc>
          <w:tcPr>
            <w:tcW w:w="3077" w:type="dxa"/>
          </w:tcPr>
          <w:p w:rsidR="004D5ECE" w:rsidRPr="00B4557A" w:rsidRDefault="004D5ECE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B4557A">
              <w:rPr>
                <w:rFonts w:asciiTheme="minorHAnsi" w:hAnsiTheme="minorHAnsi" w:cs="Tahoma"/>
                <w:sz w:val="20"/>
                <w:szCs w:val="20"/>
              </w:rPr>
              <w:t>В случае принятия решения Банка России об аннулировании лицензии на осуществление деятельности по ведению реестра владельцев ценных бумаг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B4557A">
              <w:rPr>
                <w:rFonts w:asciiTheme="minorHAnsi" w:hAnsiTheme="minorHAnsi" w:cs="Tahoma"/>
                <w:sz w:val="20"/>
                <w:szCs w:val="20"/>
              </w:rPr>
              <w:t>лицензиат со дня раскрытия на официальном сайте Банка России сообщения об аннулировании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B4557A">
              <w:rPr>
                <w:rFonts w:asciiTheme="minorHAnsi" w:hAnsiTheme="minorHAnsi" w:cs="Tahoma"/>
                <w:sz w:val="20"/>
                <w:szCs w:val="20"/>
              </w:rPr>
              <w:t>лицензии профессионального участника рынка</w:t>
            </w:r>
            <w:r w:rsidR="00CB2973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B4557A">
              <w:rPr>
                <w:rFonts w:asciiTheme="minorHAnsi" w:hAnsiTheme="minorHAnsi" w:cs="Tahoma"/>
                <w:sz w:val="20"/>
                <w:szCs w:val="20"/>
              </w:rPr>
              <w:t>ценных бумаг обязан совершить следующие действия в порядке, установленном законодательством Российской Федерации о ценных бумагах для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B4557A">
              <w:rPr>
                <w:rFonts w:asciiTheme="minorHAnsi" w:hAnsiTheme="minorHAnsi" w:cs="Tahoma"/>
                <w:sz w:val="20"/>
                <w:szCs w:val="20"/>
              </w:rPr>
              <w:t>передачи реестра владельцев ценных бумаг:</w:t>
            </w:r>
            <w:proofErr w:type="gramEnd"/>
          </w:p>
          <w:p w:rsidR="004D5ECE" w:rsidRPr="00B4557A" w:rsidRDefault="004D5ECE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4557A">
              <w:rPr>
                <w:rFonts w:asciiTheme="minorHAnsi" w:hAnsiTheme="minorHAnsi" w:cs="Tahoma"/>
                <w:sz w:val="20"/>
                <w:szCs w:val="20"/>
              </w:rPr>
              <w:t>..</w:t>
            </w:r>
          </w:p>
          <w:p w:rsidR="004D5ECE" w:rsidRPr="00B50075" w:rsidRDefault="004D5ECE" w:rsidP="00191788">
            <w:pPr>
              <w:pStyle w:val="Default"/>
              <w:spacing w:after="100" w:afterAutospacing="1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4557A">
              <w:rPr>
                <w:rFonts w:asciiTheme="minorHAnsi" w:hAnsiTheme="minorHAnsi" w:cs="Tahoma"/>
                <w:sz w:val="20"/>
                <w:szCs w:val="20"/>
              </w:rPr>
              <w:t>3.12.2. передать эмитенту первичные документы, являвшиеся основанием для внесения изменений в реестр (распоряжения о совершении операций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B4557A">
              <w:rPr>
                <w:rFonts w:asciiTheme="minorHAnsi" w:hAnsiTheme="minorHAnsi" w:cs="Tahoma"/>
                <w:sz w:val="20"/>
                <w:szCs w:val="20"/>
              </w:rPr>
              <w:t>в реестре и другие документы).</w:t>
            </w:r>
          </w:p>
        </w:tc>
        <w:tc>
          <w:tcPr>
            <w:tcW w:w="3063" w:type="dxa"/>
          </w:tcPr>
          <w:p w:rsidR="004D5ECE" w:rsidRDefault="00191788" w:rsidP="003E39EC">
            <w:pPr>
              <w:spacing w:after="100" w:afterAutospacing="1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Предлагается и</w:t>
            </w:r>
            <w:r w:rsidR="00480740" w:rsidRPr="00550217">
              <w:rPr>
                <w:rFonts w:cs="Tahoma"/>
                <w:sz w:val="20"/>
                <w:szCs w:val="20"/>
              </w:rPr>
              <w:t xml:space="preserve">спользовать формулировку из </w:t>
            </w:r>
            <w:r w:rsidR="00A25EBF">
              <w:rPr>
                <w:rFonts w:cs="Tahoma"/>
                <w:sz w:val="20"/>
                <w:szCs w:val="20"/>
              </w:rPr>
              <w:t>Приказа №</w:t>
            </w:r>
            <w:r>
              <w:rPr>
                <w:rFonts w:cs="Tahoma"/>
                <w:sz w:val="20"/>
                <w:szCs w:val="20"/>
              </w:rPr>
              <w:t>10-77/</w:t>
            </w:r>
            <w:proofErr w:type="spellStart"/>
            <w:r>
              <w:rPr>
                <w:rFonts w:cs="Tahoma"/>
                <w:sz w:val="20"/>
                <w:szCs w:val="20"/>
              </w:rPr>
              <w:t>пз</w:t>
            </w:r>
            <w:proofErr w:type="spellEnd"/>
            <w:r>
              <w:rPr>
                <w:rFonts w:cs="Tahoma"/>
                <w:sz w:val="20"/>
                <w:szCs w:val="20"/>
              </w:rPr>
              <w:t>-н или исключить из п</w:t>
            </w:r>
            <w:r w:rsidR="00480740" w:rsidRPr="00550217">
              <w:rPr>
                <w:rFonts w:cs="Tahoma"/>
                <w:sz w:val="20"/>
                <w:szCs w:val="20"/>
              </w:rPr>
              <w:t>роекта, т.к.</w:t>
            </w:r>
            <w:r w:rsidR="00A25EBF">
              <w:rPr>
                <w:rFonts w:cs="Tahoma"/>
                <w:sz w:val="20"/>
                <w:szCs w:val="20"/>
              </w:rPr>
              <w:t xml:space="preserve"> данный аспект профессиональной деятельности</w:t>
            </w:r>
            <w:r w:rsidR="00480740" w:rsidRPr="00550217">
              <w:rPr>
                <w:rFonts w:cs="Tahoma"/>
                <w:sz w:val="20"/>
                <w:szCs w:val="20"/>
              </w:rPr>
              <w:t xml:space="preserve"> регулирует</w:t>
            </w:r>
            <w:r w:rsidR="003E39EC">
              <w:rPr>
                <w:rFonts w:cs="Tahoma"/>
                <w:sz w:val="20"/>
                <w:szCs w:val="20"/>
              </w:rPr>
              <w:t>ся</w:t>
            </w:r>
            <w:r w:rsidR="00480740" w:rsidRPr="00550217">
              <w:rPr>
                <w:rFonts w:cs="Tahoma"/>
                <w:sz w:val="20"/>
                <w:szCs w:val="20"/>
              </w:rPr>
              <w:t xml:space="preserve"> друг</w:t>
            </w:r>
            <w:r w:rsidR="003E39EC">
              <w:rPr>
                <w:rFonts w:cs="Tahoma"/>
                <w:sz w:val="20"/>
                <w:szCs w:val="20"/>
              </w:rPr>
              <w:t>им</w:t>
            </w:r>
            <w:r w:rsidR="00480740" w:rsidRPr="00550217">
              <w:rPr>
                <w:rFonts w:cs="Tahoma"/>
                <w:sz w:val="20"/>
                <w:szCs w:val="20"/>
              </w:rPr>
              <w:t xml:space="preserve"> нормативны</w:t>
            </w:r>
            <w:r w:rsidR="003E39EC">
              <w:rPr>
                <w:rFonts w:cs="Tahoma"/>
                <w:sz w:val="20"/>
                <w:szCs w:val="20"/>
              </w:rPr>
              <w:t>м</w:t>
            </w:r>
            <w:r w:rsidR="00480740" w:rsidRPr="00550217">
              <w:rPr>
                <w:rFonts w:cs="Tahoma"/>
                <w:sz w:val="20"/>
                <w:szCs w:val="20"/>
              </w:rPr>
              <w:t xml:space="preserve"> акт</w:t>
            </w:r>
            <w:r w:rsidR="003E39EC">
              <w:rPr>
                <w:rFonts w:cs="Tahoma"/>
                <w:sz w:val="20"/>
                <w:szCs w:val="20"/>
              </w:rPr>
              <w:t>ом.</w:t>
            </w:r>
          </w:p>
        </w:tc>
        <w:tc>
          <w:tcPr>
            <w:tcW w:w="8866" w:type="dxa"/>
          </w:tcPr>
          <w:p w:rsidR="004D5ECE" w:rsidRPr="00550217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  <w:r w:rsidRPr="00550217">
              <w:rPr>
                <w:rFonts w:cs="Tahoma"/>
                <w:sz w:val="20"/>
                <w:szCs w:val="20"/>
              </w:rPr>
              <w:t>В проект</w:t>
            </w:r>
            <w:r w:rsidR="00191788">
              <w:rPr>
                <w:rFonts w:cs="Tahoma"/>
                <w:sz w:val="20"/>
                <w:szCs w:val="20"/>
              </w:rPr>
              <w:t>е Положения</w:t>
            </w:r>
            <w:r w:rsidRPr="00550217">
              <w:rPr>
                <w:rFonts w:cs="Tahoma"/>
                <w:sz w:val="20"/>
                <w:szCs w:val="20"/>
              </w:rPr>
              <w:t xml:space="preserve"> не учитываются требования действующего Положения о порядке взаимодействия при передаче документов и информации, составляющих систему ведения реестра владельцев ценных бумаг, утв. Приказ 10-77/</w:t>
            </w:r>
            <w:proofErr w:type="spellStart"/>
            <w:r w:rsidRPr="00550217">
              <w:rPr>
                <w:rFonts w:cs="Tahoma"/>
                <w:sz w:val="20"/>
                <w:szCs w:val="20"/>
              </w:rPr>
              <w:t>пз</w:t>
            </w:r>
            <w:proofErr w:type="spellEnd"/>
            <w:r w:rsidRPr="00550217">
              <w:rPr>
                <w:rFonts w:cs="Tahoma"/>
                <w:sz w:val="20"/>
                <w:szCs w:val="20"/>
              </w:rPr>
              <w:t>-н от 20.12.2010.</w:t>
            </w:r>
          </w:p>
          <w:p w:rsidR="004D5ECE" w:rsidRPr="00CB2973" w:rsidRDefault="004D5ECE" w:rsidP="00191788">
            <w:pPr>
              <w:spacing w:after="100" w:afterAutospacing="1"/>
              <w:jc w:val="both"/>
              <w:rPr>
                <w:rFonts w:cs="Tahoma"/>
                <w:i/>
                <w:sz w:val="20"/>
                <w:szCs w:val="20"/>
              </w:rPr>
            </w:pPr>
            <w:r w:rsidRPr="00CB2973">
              <w:rPr>
                <w:rFonts w:cs="Tahoma"/>
                <w:i/>
                <w:sz w:val="20"/>
                <w:szCs w:val="20"/>
              </w:rPr>
              <w:t xml:space="preserve">3.3. </w:t>
            </w:r>
            <w:proofErr w:type="gramStart"/>
            <w:r w:rsidRPr="00CB2973">
              <w:rPr>
                <w:rFonts w:cs="Tahoma"/>
                <w:i/>
                <w:sz w:val="20"/>
                <w:szCs w:val="20"/>
              </w:rPr>
              <w:t>В случае своей ликвидации или аннулирования лицензии на осуществление деятельности по ведению реестра владельцев ценных бумаг регистратор, осуществлявший ведение реестра, обязан передать все документы, относящиеся к реестру и которые не переданы им в соответствии с настоящим Положением, эмитенту, а в случае если эмитент ликвидирован либо не находится по адресу, указанному в Едином государственном реестре юридических лиц, и иным известным регистратору</w:t>
            </w:r>
            <w:proofErr w:type="gramEnd"/>
            <w:r w:rsidRPr="00CB2973">
              <w:rPr>
                <w:rFonts w:cs="Tahoma"/>
                <w:i/>
                <w:sz w:val="20"/>
                <w:szCs w:val="20"/>
              </w:rPr>
              <w:t xml:space="preserve"> адресам, - саморегулируемой организации в порядке, предусмотренном пунктом 3.2.1 настоящего Положения.</w:t>
            </w:r>
          </w:p>
          <w:p w:rsidR="004D5ECE" w:rsidRPr="00550217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  <w:p w:rsidR="004D5ECE" w:rsidRPr="00387278" w:rsidRDefault="004D5ECE" w:rsidP="00191788">
            <w:pPr>
              <w:spacing w:after="100" w:afterAutospacing="1"/>
              <w:jc w:val="both"/>
              <w:rPr>
                <w:rFonts w:cs="Tahoma"/>
                <w:sz w:val="20"/>
                <w:szCs w:val="20"/>
              </w:rPr>
            </w:pPr>
          </w:p>
        </w:tc>
      </w:tr>
    </w:tbl>
    <w:p w:rsidR="00376C33" w:rsidRDefault="00376C33" w:rsidP="00191788">
      <w:pPr>
        <w:spacing w:after="100" w:afterAutospacing="1" w:line="240" w:lineRule="auto"/>
        <w:rPr>
          <w:sz w:val="20"/>
          <w:szCs w:val="20"/>
        </w:rPr>
      </w:pPr>
    </w:p>
    <w:p w:rsidR="0082506B" w:rsidRPr="0082506B" w:rsidRDefault="0082506B" w:rsidP="00191788">
      <w:pPr>
        <w:spacing w:after="100" w:afterAutospacing="1" w:line="240" w:lineRule="auto"/>
      </w:pPr>
    </w:p>
    <w:sectPr w:rsidR="0082506B" w:rsidRPr="0082506B" w:rsidSect="00003BC6">
      <w:footerReference w:type="default" r:id="rId9"/>
      <w:pgSz w:w="16838" w:h="11906" w:orient="landscape" w:code="9"/>
      <w:pgMar w:top="284" w:right="567" w:bottom="284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87" w:rsidRDefault="000B3687" w:rsidP="00E36F35">
      <w:pPr>
        <w:spacing w:after="0" w:line="240" w:lineRule="auto"/>
      </w:pPr>
      <w:r>
        <w:separator/>
      </w:r>
    </w:p>
  </w:endnote>
  <w:endnote w:type="continuationSeparator" w:id="0">
    <w:p w:rsidR="000B3687" w:rsidRDefault="000B3687" w:rsidP="00E3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814036"/>
      <w:docPartObj>
        <w:docPartGallery w:val="Page Numbers (Bottom of Page)"/>
        <w:docPartUnique/>
      </w:docPartObj>
    </w:sdtPr>
    <w:sdtEndPr/>
    <w:sdtContent>
      <w:p w:rsidR="009A3D00" w:rsidRDefault="009A3D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9BD">
          <w:rPr>
            <w:noProof/>
          </w:rPr>
          <w:t>6</w:t>
        </w:r>
        <w:r>
          <w:fldChar w:fldCharType="end"/>
        </w:r>
      </w:p>
    </w:sdtContent>
  </w:sdt>
  <w:p w:rsidR="009A3D00" w:rsidRDefault="009A3D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87" w:rsidRDefault="000B3687" w:rsidP="00E36F35">
      <w:pPr>
        <w:spacing w:after="0" w:line="240" w:lineRule="auto"/>
      </w:pPr>
      <w:r>
        <w:separator/>
      </w:r>
    </w:p>
  </w:footnote>
  <w:footnote w:type="continuationSeparator" w:id="0">
    <w:p w:rsidR="000B3687" w:rsidRDefault="000B3687" w:rsidP="00E3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6937"/>
    <w:multiLevelType w:val="multilevel"/>
    <w:tmpl w:val="FFAC3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75"/>
    <w:rsid w:val="00003BC6"/>
    <w:rsid w:val="00032D8D"/>
    <w:rsid w:val="000375A6"/>
    <w:rsid w:val="00060D2F"/>
    <w:rsid w:val="00063BBE"/>
    <w:rsid w:val="00084805"/>
    <w:rsid w:val="000946A3"/>
    <w:rsid w:val="000B3687"/>
    <w:rsid w:val="000B4AA9"/>
    <w:rsid w:val="00107A08"/>
    <w:rsid w:val="001128D7"/>
    <w:rsid w:val="00154D33"/>
    <w:rsid w:val="001661A2"/>
    <w:rsid w:val="0017284F"/>
    <w:rsid w:val="00180316"/>
    <w:rsid w:val="00191788"/>
    <w:rsid w:val="001B46A4"/>
    <w:rsid w:val="001B71BD"/>
    <w:rsid w:val="001C579D"/>
    <w:rsid w:val="001D3C8C"/>
    <w:rsid w:val="001D74E1"/>
    <w:rsid w:val="001E2EB2"/>
    <w:rsid w:val="00221C7F"/>
    <w:rsid w:val="00227320"/>
    <w:rsid w:val="002561D0"/>
    <w:rsid w:val="0026387C"/>
    <w:rsid w:val="00285419"/>
    <w:rsid w:val="00294E8A"/>
    <w:rsid w:val="002969B4"/>
    <w:rsid w:val="002B673A"/>
    <w:rsid w:val="002C2FA2"/>
    <w:rsid w:val="002E6F01"/>
    <w:rsid w:val="002E777F"/>
    <w:rsid w:val="0031108C"/>
    <w:rsid w:val="00325E3C"/>
    <w:rsid w:val="00335978"/>
    <w:rsid w:val="00376C33"/>
    <w:rsid w:val="00387278"/>
    <w:rsid w:val="003E39EC"/>
    <w:rsid w:val="003E46E1"/>
    <w:rsid w:val="00422F95"/>
    <w:rsid w:val="00436693"/>
    <w:rsid w:val="00444EB4"/>
    <w:rsid w:val="004547A7"/>
    <w:rsid w:val="00466CA3"/>
    <w:rsid w:val="00467A3E"/>
    <w:rsid w:val="00475874"/>
    <w:rsid w:val="00477FBB"/>
    <w:rsid w:val="00480740"/>
    <w:rsid w:val="004B6365"/>
    <w:rsid w:val="004D5ECE"/>
    <w:rsid w:val="004D78B1"/>
    <w:rsid w:val="00507F05"/>
    <w:rsid w:val="005243D7"/>
    <w:rsid w:val="0053705F"/>
    <w:rsid w:val="00550217"/>
    <w:rsid w:val="005749BD"/>
    <w:rsid w:val="0058126A"/>
    <w:rsid w:val="005934B2"/>
    <w:rsid w:val="005B2DFB"/>
    <w:rsid w:val="005C464A"/>
    <w:rsid w:val="005F2C36"/>
    <w:rsid w:val="00620B23"/>
    <w:rsid w:val="00626398"/>
    <w:rsid w:val="00643FCF"/>
    <w:rsid w:val="006449CC"/>
    <w:rsid w:val="006519E5"/>
    <w:rsid w:val="00657B1A"/>
    <w:rsid w:val="00684C42"/>
    <w:rsid w:val="006C502B"/>
    <w:rsid w:val="006E4596"/>
    <w:rsid w:val="006F62A0"/>
    <w:rsid w:val="006F76AA"/>
    <w:rsid w:val="00700F5F"/>
    <w:rsid w:val="00703EDC"/>
    <w:rsid w:val="00714201"/>
    <w:rsid w:val="007145E0"/>
    <w:rsid w:val="007456CD"/>
    <w:rsid w:val="00795D8A"/>
    <w:rsid w:val="007B62E5"/>
    <w:rsid w:val="007E73D7"/>
    <w:rsid w:val="00806300"/>
    <w:rsid w:val="0082506B"/>
    <w:rsid w:val="008473D5"/>
    <w:rsid w:val="008560AD"/>
    <w:rsid w:val="00886401"/>
    <w:rsid w:val="00887CD0"/>
    <w:rsid w:val="008B5CAF"/>
    <w:rsid w:val="008C066B"/>
    <w:rsid w:val="008F2A6D"/>
    <w:rsid w:val="009002A7"/>
    <w:rsid w:val="00926BC3"/>
    <w:rsid w:val="0095075D"/>
    <w:rsid w:val="00962687"/>
    <w:rsid w:val="00982609"/>
    <w:rsid w:val="009A3D00"/>
    <w:rsid w:val="009F0866"/>
    <w:rsid w:val="009F4CFA"/>
    <w:rsid w:val="00A05ABA"/>
    <w:rsid w:val="00A25EBF"/>
    <w:rsid w:val="00A43570"/>
    <w:rsid w:val="00A476F8"/>
    <w:rsid w:val="00A61EAC"/>
    <w:rsid w:val="00AA05E8"/>
    <w:rsid w:val="00AA1416"/>
    <w:rsid w:val="00AA5495"/>
    <w:rsid w:val="00AB11A5"/>
    <w:rsid w:val="00AD114F"/>
    <w:rsid w:val="00AE2014"/>
    <w:rsid w:val="00B1159A"/>
    <w:rsid w:val="00B16866"/>
    <w:rsid w:val="00B33D0F"/>
    <w:rsid w:val="00B421FB"/>
    <w:rsid w:val="00B4557A"/>
    <w:rsid w:val="00B4725F"/>
    <w:rsid w:val="00B50075"/>
    <w:rsid w:val="00B969FB"/>
    <w:rsid w:val="00BD36C9"/>
    <w:rsid w:val="00C119E2"/>
    <w:rsid w:val="00C11A1D"/>
    <w:rsid w:val="00C27F19"/>
    <w:rsid w:val="00CB2973"/>
    <w:rsid w:val="00CD78AA"/>
    <w:rsid w:val="00CE0DBA"/>
    <w:rsid w:val="00D07956"/>
    <w:rsid w:val="00D170C7"/>
    <w:rsid w:val="00D3117B"/>
    <w:rsid w:val="00D608DF"/>
    <w:rsid w:val="00D90762"/>
    <w:rsid w:val="00DB1986"/>
    <w:rsid w:val="00DB752D"/>
    <w:rsid w:val="00DC4C23"/>
    <w:rsid w:val="00DD4713"/>
    <w:rsid w:val="00DE4A17"/>
    <w:rsid w:val="00E04BE8"/>
    <w:rsid w:val="00E0634D"/>
    <w:rsid w:val="00E106BA"/>
    <w:rsid w:val="00E220EC"/>
    <w:rsid w:val="00E27A42"/>
    <w:rsid w:val="00E36F35"/>
    <w:rsid w:val="00E376E5"/>
    <w:rsid w:val="00E37EEA"/>
    <w:rsid w:val="00E72217"/>
    <w:rsid w:val="00E9703D"/>
    <w:rsid w:val="00EA325B"/>
    <w:rsid w:val="00ED44D3"/>
    <w:rsid w:val="00ED4DD8"/>
    <w:rsid w:val="00F0697C"/>
    <w:rsid w:val="00F3118C"/>
    <w:rsid w:val="00F55826"/>
    <w:rsid w:val="00F607C2"/>
    <w:rsid w:val="00F61AE2"/>
    <w:rsid w:val="00F854B1"/>
    <w:rsid w:val="00FA123A"/>
    <w:rsid w:val="00FC58BF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5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36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F35"/>
  </w:style>
  <w:style w:type="paragraph" w:styleId="a6">
    <w:name w:val="footer"/>
    <w:basedOn w:val="a"/>
    <w:link w:val="a7"/>
    <w:uiPriority w:val="99"/>
    <w:unhideWhenUsed/>
    <w:rsid w:val="00E36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F35"/>
  </w:style>
  <w:style w:type="paragraph" w:styleId="a8">
    <w:name w:val="List Paragraph"/>
    <w:basedOn w:val="a"/>
    <w:uiPriority w:val="34"/>
    <w:qFormat/>
    <w:rsid w:val="00A476F8"/>
    <w:pPr>
      <w:ind w:left="720"/>
      <w:contextualSpacing/>
    </w:pPr>
  </w:style>
  <w:style w:type="paragraph" w:styleId="a9">
    <w:name w:val="Body Text Indent"/>
    <w:aliases w:val="Основной текст 1"/>
    <w:basedOn w:val="a"/>
    <w:link w:val="aa"/>
    <w:semiHidden/>
    <w:rsid w:val="0082506B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semiHidden/>
    <w:rsid w:val="008250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5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36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F35"/>
  </w:style>
  <w:style w:type="paragraph" w:styleId="a6">
    <w:name w:val="footer"/>
    <w:basedOn w:val="a"/>
    <w:link w:val="a7"/>
    <w:uiPriority w:val="99"/>
    <w:unhideWhenUsed/>
    <w:rsid w:val="00E36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F35"/>
  </w:style>
  <w:style w:type="paragraph" w:styleId="a8">
    <w:name w:val="List Paragraph"/>
    <w:basedOn w:val="a"/>
    <w:uiPriority w:val="34"/>
    <w:qFormat/>
    <w:rsid w:val="00A476F8"/>
    <w:pPr>
      <w:ind w:left="720"/>
      <w:contextualSpacing/>
    </w:pPr>
  </w:style>
  <w:style w:type="paragraph" w:styleId="a9">
    <w:name w:val="Body Text Indent"/>
    <w:aliases w:val="Основной текст 1"/>
    <w:basedOn w:val="a"/>
    <w:link w:val="aa"/>
    <w:semiHidden/>
    <w:rsid w:val="0082506B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semiHidden/>
    <w:rsid w:val="008250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876C-B133-48F1-A799-708D7D5C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Гусов О.К.</dc:creator>
  <cp:lastModifiedBy>Варвара Артюшенко</cp:lastModifiedBy>
  <cp:revision>53</cp:revision>
  <cp:lastPrinted>2014-10-15T08:00:00Z</cp:lastPrinted>
  <dcterms:created xsi:type="dcterms:W3CDTF">2014-10-06T05:50:00Z</dcterms:created>
  <dcterms:modified xsi:type="dcterms:W3CDTF">2014-10-15T08:18:00Z</dcterms:modified>
</cp:coreProperties>
</file>