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F2" w:rsidRDefault="00451AF2">
      <w:pPr>
        <w:pStyle w:val="ConsPlusTitle"/>
        <w:jc w:val="center"/>
      </w:pPr>
      <w:bookmarkStart w:id="0" w:name="_GoBack"/>
      <w:bookmarkEnd w:id="0"/>
      <w:r>
        <w:t>КОНЦЕПЦИЯ</w:t>
      </w:r>
    </w:p>
    <w:p w:rsidR="00451AF2" w:rsidRDefault="00451AF2">
      <w:pPr>
        <w:pStyle w:val="ConsPlusTitle"/>
        <w:jc w:val="center"/>
      </w:pPr>
      <w:r>
        <w:t>ОБЩЕГО РЕГУЛИРОВАНИЯ ДЕЯТЕЛЬНОСТИ ГРУПП КОМПАНИЙ,</w:t>
      </w:r>
    </w:p>
    <w:p w:rsidR="00451AF2" w:rsidRDefault="00451AF2">
      <w:pPr>
        <w:pStyle w:val="ConsPlusTitle"/>
        <w:jc w:val="center"/>
      </w:pPr>
      <w:proofErr w:type="gramStart"/>
      <w:r>
        <w:t>РАЗВИВАЮЩИХ</w:t>
      </w:r>
      <w:proofErr w:type="gramEnd"/>
      <w:r>
        <w:t xml:space="preserve"> РАЗЛИЧНЫЕ ЦИФРОВЫЕ СЕРВИСЫ</w:t>
      </w:r>
    </w:p>
    <w:p w:rsidR="00451AF2" w:rsidRDefault="00451AF2">
      <w:pPr>
        <w:pStyle w:val="ConsPlusTitle"/>
        <w:jc w:val="center"/>
      </w:pPr>
      <w:r>
        <w:t>НА БАЗЕ ОДНОЙ "ЭКОСИСТЕМЫ"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Title"/>
        <w:ind w:firstLine="540"/>
        <w:jc w:val="both"/>
        <w:outlineLvl w:val="0"/>
      </w:pPr>
      <w:r>
        <w:t>I. ОБЩИЕ ПОЛОЖЕНИЯ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Normal"/>
        <w:ind w:firstLine="540"/>
        <w:jc w:val="both"/>
      </w:pPr>
      <w:proofErr w:type="gramStart"/>
      <w:r>
        <w:t>Концепция общего регулирования деятельности групп компаний, развивающих цифровые сервисы на базе одной "экосистемы", устанавливает систему приоритетов, целей, задач и направлений правового регулирования отношений между различными категориями физических и юридических лиц, а также государством с учетом влияния на такие отношения результатов деятельности функционирования цифровых платформ и экосистем, и направлена на создание благоприятных условий для экономического роста, конкуренции и безопасной среды.</w:t>
      </w:r>
      <w:proofErr w:type="gramEnd"/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Title"/>
        <w:ind w:firstLine="540"/>
        <w:jc w:val="both"/>
        <w:outlineLvl w:val="1"/>
      </w:pPr>
      <w:r>
        <w:t>Правовая основа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Normal"/>
        <w:ind w:firstLine="540"/>
        <w:jc w:val="both"/>
      </w:pPr>
      <w:r>
        <w:t>Правовую основу настоящей Концепции составляют: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- </w:t>
      </w:r>
      <w:hyperlink r:id="rId5" w:history="1">
        <w:r>
          <w:rPr>
            <w:color w:val="0000FF"/>
          </w:rPr>
          <w:t>Конституция</w:t>
        </w:r>
      </w:hyperlink>
      <w:r>
        <w:t xml:space="preserve"> Российской Федерации;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- Гражданский </w:t>
      </w:r>
      <w:hyperlink r:id="rId6" w:history="1">
        <w:r>
          <w:rPr>
            <w:color w:val="0000FF"/>
          </w:rPr>
          <w:t>кодекс</w:t>
        </w:r>
      </w:hyperlink>
      <w:r>
        <w:t xml:space="preserve"> Российской Федерации;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- Федеральный конституционный </w:t>
      </w:r>
      <w:hyperlink r:id="rId7" w:history="1">
        <w:r>
          <w:rPr>
            <w:color w:val="0000FF"/>
          </w:rPr>
          <w:t>закон</w:t>
        </w:r>
      </w:hyperlink>
      <w:r>
        <w:t xml:space="preserve"> от 6 ноября 2020 г. N 4-ФКЗ "О Правительстве Российской Федерации";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8" w:history="1">
        <w:r>
          <w:rPr>
            <w:color w:val="0000FF"/>
          </w:rPr>
          <w:t>закон</w:t>
        </w:r>
      </w:hyperlink>
      <w:r>
        <w:t xml:space="preserve"> от 31 декабря 2014 г. N 488-ФЗ "О промышленной политике в Российской Федерации";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9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информации";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26 декабря 1995 г. N 208-ФЗ "Об акционерных обществах";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3 июля 2016 г. N 236-ФЗ "О публично-правовых компаниях в Российской Федерации и о внесении изменений в отдельные законодательные акты Российской Федерации";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25 февраля 1999 г. N 39-ФЗ "Об инвестиционной деятельности в Российской Федерации, осуществляемой в форме капитальных вложений";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26 июля 2006 г. N 135-ФЗ "О защите конкуренции";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14" w:history="1">
        <w:r>
          <w:rPr>
            <w:color w:val="0000FF"/>
          </w:rPr>
          <w:t>закон</w:t>
        </w:r>
      </w:hyperlink>
      <w:r>
        <w:t xml:space="preserve"> от 17 августа 1995 г. N 147-ФЗ "О естественных монополиях";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28 декабря 2009 г. N 381-ФЗ "Об основах государственного регулирования торговой деятельности в Российской Федерации";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16" w:history="1">
        <w:r>
          <w:rPr>
            <w:color w:val="0000FF"/>
          </w:rPr>
          <w:t>закон</w:t>
        </w:r>
      </w:hyperlink>
      <w:r>
        <w:t xml:space="preserve"> от 13 марта 2006 г. N 38-ФЗ "О рекламе";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- </w:t>
      </w:r>
      <w:hyperlink r:id="rId17" w:history="1">
        <w:r>
          <w:rPr>
            <w:color w:val="0000FF"/>
          </w:rPr>
          <w:t>Закон</w:t>
        </w:r>
      </w:hyperlink>
      <w:r>
        <w:t xml:space="preserve"> Российской Федерации от 7 февраля 1992 г. N 2300-1 "О защите прав потребителей";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18" w:history="1">
        <w:r>
          <w:rPr>
            <w:color w:val="0000FF"/>
          </w:rPr>
          <w:t>закон</w:t>
        </w:r>
      </w:hyperlink>
      <w:r>
        <w:t xml:space="preserve"> от 29 ноября 2007 г. N 282-ФЗ "Об официальном статистическом учете и системе государственной статистики в Российской Федерации";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19" w:history="1">
        <w:r>
          <w:rPr>
            <w:color w:val="0000FF"/>
          </w:rPr>
          <w:t>закон</w:t>
        </w:r>
      </w:hyperlink>
      <w:r>
        <w:t xml:space="preserve"> от 31 июля 2020 г. N 258-ФЗ "Об экспериментальных правовых режимах в сфере цифровых инноваций в Российской Федерации";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lastRenderedPageBreak/>
        <w:t xml:space="preserve">- Федеральный </w:t>
      </w:r>
      <w:hyperlink r:id="rId20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данных";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21" w:history="1">
        <w:r>
          <w:rPr>
            <w:color w:val="0000FF"/>
          </w:rPr>
          <w:t>закон</w:t>
        </w:r>
      </w:hyperlink>
      <w:r>
        <w:t xml:space="preserve"> от 29 июля 2004 г. N 98-ФЗ "О коммерческой тайне";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22" w:history="1">
        <w:r>
          <w:rPr>
            <w:color w:val="0000FF"/>
          </w:rPr>
          <w:t>закон</w:t>
        </w:r>
      </w:hyperlink>
      <w:r>
        <w:t xml:space="preserve"> от 18 июля 1999 г. N 183-ФЗ "Об экспортном контроле";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23" w:history="1">
        <w:r>
          <w:rPr>
            <w:color w:val="0000FF"/>
          </w:rPr>
          <w:t>закон</w:t>
        </w:r>
      </w:hyperlink>
      <w:r>
        <w:t xml:space="preserve"> от 7 августа 2001 г. N 115-ФЗ "О противодействии легализации (отмыванию) доходов, полученных преступным путем, и финансированию терроризма";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24" w:history="1">
        <w:r>
          <w:rPr>
            <w:color w:val="0000FF"/>
          </w:rPr>
          <w:t>закон</w:t>
        </w:r>
      </w:hyperlink>
      <w:r>
        <w:t xml:space="preserve"> от 2 декабря 1990 г. N 395-1 "О банках и банковской деятельности";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- Трудовой </w:t>
      </w:r>
      <w:hyperlink r:id="rId25" w:history="1">
        <w:r>
          <w:rPr>
            <w:color w:val="0000FF"/>
          </w:rPr>
          <w:t>кодекс</w:t>
        </w:r>
      </w:hyperlink>
      <w:r>
        <w:t xml:space="preserve"> Российской Федерации;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>- Иные законы Российской Федерации и подзаконные нормативные правовые акты Российской Федерации, прямо или косвенно затрагивающие указанную деятельность.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Title"/>
        <w:ind w:firstLine="540"/>
        <w:jc w:val="both"/>
        <w:outlineLvl w:val="1"/>
      </w:pPr>
      <w:r>
        <w:t>Термины и определения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Normal"/>
        <w:ind w:firstLine="540"/>
        <w:jc w:val="both"/>
      </w:pPr>
      <w:r>
        <w:t>В настоящей Концепции используются следующие термины и определения: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>Группа компаний - объединение юридических лиц, связанных отношениями значительного влияния или контроля.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>Цифровая платформа - это бизнес-модель, позволяющая потребителям и поставщикам связываться онлайн для обмена продуктами, услугами и информацией (цифровыми сервисами), включая предоставление продуктов/услуг/информации собственного производства.</w:t>
      </w:r>
    </w:p>
    <w:p w:rsidR="00451AF2" w:rsidRDefault="00451AF2">
      <w:pPr>
        <w:pStyle w:val="ConsPlusNormal"/>
        <w:spacing w:before="220"/>
        <w:ind w:firstLine="540"/>
        <w:jc w:val="both"/>
      </w:pPr>
      <w:proofErr w:type="gramStart"/>
      <w:r>
        <w:t xml:space="preserve">Технологическая платформа - это набор технологических </w:t>
      </w:r>
      <w:proofErr w:type="spellStart"/>
      <w:r>
        <w:t>переиспользуемых</w:t>
      </w:r>
      <w:proofErr w:type="spellEnd"/>
      <w:r>
        <w:t xml:space="preserve"> компонентов (как правило, облачных) на каждом уровне архитектуры (инфраструктура, хранение данных, технологические сервисы, бизнес-логика, прикладные решения, канальные приложения).</w:t>
      </w:r>
      <w:proofErr w:type="gramEnd"/>
      <w:r>
        <w:t xml:space="preserve"> Они также включают в себя инструменты разработки и эксплуатации, средства интеграции, инструменты аналитики, средства обеспечения безопасности для повышения скорости.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Облачные технологии в основе платформы позволяют использовать единый подход при принятии </w:t>
      </w:r>
      <w:proofErr w:type="gramStart"/>
      <w:r>
        <w:t>архитектурных решений</w:t>
      </w:r>
      <w:proofErr w:type="gramEnd"/>
      <w:r>
        <w:t xml:space="preserve">: </w:t>
      </w:r>
      <w:proofErr w:type="spellStart"/>
      <w:r>
        <w:t>автомасштабирование</w:t>
      </w:r>
      <w:proofErr w:type="spellEnd"/>
      <w:r>
        <w:t xml:space="preserve">, </w:t>
      </w:r>
      <w:proofErr w:type="spellStart"/>
      <w:r>
        <w:t>автовосстановление</w:t>
      </w:r>
      <w:proofErr w:type="spellEnd"/>
      <w:r>
        <w:t>, автоматизированное управление зависимостями, автоматический мониторинг.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Цифровая экосистема - это </w:t>
      </w:r>
      <w:proofErr w:type="spellStart"/>
      <w:r>
        <w:t>клиентоцентричная</w:t>
      </w:r>
      <w:proofErr w:type="spellEnd"/>
      <w:r>
        <w:t xml:space="preserve"> бизнес-модель, объединяющая две и более группы продуктов, услуг, информации (собственного производства и/или других игроков) для удовлетворения конечных потребностей клиентов (безопасность, жилье, развлечения и т.д.).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>Особенностью экосистем является то, что они объединяют продукты/услуги, создавая дополнительную ценность при пользовании более чем одним/одной продуктом/услугой с точки зрения удобства и/или финансовой привлекательности для своих поставщиков и потребителей, на основе технологических платформ.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>Понятия цифровых платформ и экосистем появились эволюционно из мира офлайн. Изначально физическая среда обитания человека представляла собой платформы и экосистемы, в которых человек удовлетворял свои потребности. Например, города, торговые центры, вокзалы и аэропорты, кинотеатры представляют собой офлайн-экосистемы, где человек получает комплекс товаров и услуг.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С появлением технологий офлайн-платформы и экосистемы начали трансформироваться </w:t>
      </w:r>
      <w:proofErr w:type="gramStart"/>
      <w:r>
        <w:t>в</w:t>
      </w:r>
      <w:proofErr w:type="gramEnd"/>
      <w:r>
        <w:t xml:space="preserve"> цифровые. Теперь приобретение, а иногда и предоставление продуктов и услуг осуществляется в формате онлайн на цифровых платформах и в экосистемах.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lastRenderedPageBreak/>
        <w:t>Границы между цифровыми платформами и предоставляемыми ими продуктами/услугами и цифровыми экосистемами могут быть размытыми. Цифровые экосистемы являются следующей фазой развития цифровых платформ, в том числе могут включать несколько цифровых платформ. Также экосистемы зачастую основаны на современной технологической платформе.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>Выделяют два вида цифровых платформ и экосистем: национальные и иностранные. Определения и критерии еще предстоит определить.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Title"/>
        <w:ind w:firstLine="540"/>
        <w:jc w:val="both"/>
        <w:outlineLvl w:val="1"/>
      </w:pPr>
      <w:r>
        <w:t>Актуальность разработки Концепции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Normal"/>
        <w:ind w:firstLine="540"/>
        <w:jc w:val="both"/>
      </w:pPr>
      <w:r>
        <w:t>На развитие современной мировой экономики все большее влияние оказывают технологии, вследствие чего происходит формирование принципиально нового типа экономики - цифровой экономики, фундаментальным элементом которой являются цифровые платформы и экосистемы.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Ведущие компании мира строят экосистемы, поддерживая свою долгосрочную привлекательность и развитие (например, </w:t>
      </w:r>
      <w:proofErr w:type="spellStart"/>
      <w:r>
        <w:t>Amazon</w:t>
      </w:r>
      <w:proofErr w:type="spellEnd"/>
      <w:r>
        <w:t xml:space="preserve"> уже 20 лет развивает экосистему). В мире существует две страны, где национальные экосистемы уже совместно занимают 30% мирового рынка электронной коммерции. На долю США и Китая приходится 75% патентов, связанных с </w:t>
      </w:r>
      <w:proofErr w:type="spellStart"/>
      <w:r>
        <w:t>блокчейном</w:t>
      </w:r>
      <w:proofErr w:type="spellEnd"/>
      <w:r>
        <w:t>, 50% рынка интернета вещей, 75% рынка облачных вычислений. В большинстве других стран, в том числе в Европейском союзе, национальные экосистемы не сформировались и на их рынках доминируют в основном экосистемы из США и Китая. Россия может стать третьей страной с масштабными национальными экосистемами.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Для России, как и для других стран, актуальным является как развитие лидерства национальных игроков, так и оценка потенциальных рисков для конкурентной среды и экономики, которые может нести </w:t>
      </w:r>
      <w:proofErr w:type="spellStart"/>
      <w:r>
        <w:t>экосистемная</w:t>
      </w:r>
      <w:proofErr w:type="spellEnd"/>
      <w:r>
        <w:t xml:space="preserve"> бизнес-модель как таковая. Регуляторы по всему миру активно обсуждают эти вопросы и разрабатывают соответствующие предложения по изменению правового поля. При разработке регулирования в России важно учитывать как международный опыт, так и необходимость его адаптации к российским условиям.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Несмотря на масштаб, экосистемы в США и Китае все больше конкурируют друг с другом и классическим бизнесом. Например, доля </w:t>
      </w:r>
      <w:proofErr w:type="spellStart"/>
      <w:r>
        <w:t>Alibaba</w:t>
      </w:r>
      <w:proofErr w:type="spellEnd"/>
      <w:r>
        <w:t xml:space="preserve"> на китайском рынке электронной торговли за 8 лет снизилась почти на 10 </w:t>
      </w:r>
      <w:proofErr w:type="spellStart"/>
      <w:r>
        <w:t>пп</w:t>
      </w:r>
      <w:proofErr w:type="spellEnd"/>
      <w:r>
        <w:t xml:space="preserve"> в результате роста JD.com, </w:t>
      </w:r>
      <w:proofErr w:type="spellStart"/>
      <w:r>
        <w:t>Pinduoduo</w:t>
      </w:r>
      <w:proofErr w:type="spellEnd"/>
      <w:r>
        <w:t xml:space="preserve"> и других игроков. </w:t>
      </w:r>
      <w:proofErr w:type="spellStart"/>
      <w:r>
        <w:t>Amazon</w:t>
      </w:r>
      <w:proofErr w:type="spellEnd"/>
      <w:r>
        <w:t xml:space="preserve"> становится поисковиком для товаров и конкурирует с </w:t>
      </w:r>
      <w:proofErr w:type="spellStart"/>
      <w:r>
        <w:t>Google</w:t>
      </w:r>
      <w:proofErr w:type="spellEnd"/>
      <w:r>
        <w:t xml:space="preserve"> и другими компаниями.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Экосистемы в США и Китае имеют финансовые, технологические ресурсы, данные и клиентскую базу для экспансии на международные рынки. Например, для </w:t>
      </w:r>
      <w:proofErr w:type="spellStart"/>
      <w:r>
        <w:t>Amazon</w:t>
      </w:r>
      <w:proofErr w:type="spellEnd"/>
      <w:r>
        <w:t xml:space="preserve"> Германия - самый большой рынок после США, </w:t>
      </w:r>
      <w:proofErr w:type="spellStart"/>
      <w:r>
        <w:t>Alibaba</w:t>
      </w:r>
      <w:proofErr w:type="spellEnd"/>
      <w:r>
        <w:t xml:space="preserve"> в стратегии до 2024 года одним из приоритетов ставит выход на иностранные рынки и завоевание глобальных потребителей.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Клиенты выбирают экосистемы - классические </w:t>
      </w:r>
      <w:proofErr w:type="gramStart"/>
      <w:r>
        <w:t>бизнес-модели</w:t>
      </w:r>
      <w:proofErr w:type="gramEnd"/>
      <w:r>
        <w:t xml:space="preserve"> уступают экосистемам по удобству, выбору и цене для клиентов. Выбор может пасть на национальные или иностранные экосистемы из США и Китая. </w:t>
      </w:r>
      <w:proofErr w:type="spellStart"/>
      <w:r>
        <w:t>Alibaba</w:t>
      </w:r>
      <w:proofErr w:type="spellEnd"/>
      <w:r>
        <w:t xml:space="preserve"> уже присутствует на российском рынке не только в электронной коммерции, но в платежах, предоставляя платежные сервисы для граждан Китая.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Российские технологические компании также двигаются в </w:t>
      </w:r>
      <w:proofErr w:type="spellStart"/>
      <w:r>
        <w:t>экосистемном</w:t>
      </w:r>
      <w:proofErr w:type="spellEnd"/>
      <w:r>
        <w:t xml:space="preserve"> направлении, расширяя линейку своих продуктов и услуг, в том числе начиная предлагать клиентам финансовые услуги.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Цифровые рынки в России находятся на ранней стадии развития и еще не достигли достаточной зрелости, например, проникновение электронной коммерции в общем обороте розничной торговли пока составляет 6% (в то время как в Китае - 28%, в США - 15%, по данным 2019 года). Цифровые рынки в России демонстрируют высокие темпы роста - отдельные сегменты до 50% в год. Кроме того, многие цифровые рынки высоко фрагментированы (например, на рынке электронной коммерции доля </w:t>
      </w:r>
      <w:proofErr w:type="spellStart"/>
      <w:r>
        <w:t>Wildberries</w:t>
      </w:r>
      <w:proofErr w:type="spellEnd"/>
      <w:r>
        <w:t xml:space="preserve"> составляет 17%, </w:t>
      </w:r>
      <w:proofErr w:type="spellStart"/>
      <w:r>
        <w:t>Ozon</w:t>
      </w:r>
      <w:proofErr w:type="spellEnd"/>
      <w:r>
        <w:t xml:space="preserve"> - 8%, </w:t>
      </w:r>
      <w:proofErr w:type="spellStart"/>
      <w:r>
        <w:t>Mvideo</w:t>
      </w:r>
      <w:proofErr w:type="spellEnd"/>
      <w:r>
        <w:t xml:space="preserve"> - 6% и т.д.).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lastRenderedPageBreak/>
        <w:t>Цифровые экосистемы в России только зарождаются. В настоящее время одновременно формируется несколько экосистем и платформ на основе различных отраслей. Особенностью России в формировании экосистем/платформ является то, что в основе лежат не только технологические продукты и услуги (поиск, социальные сети, электронная коммерция), но и классические, такие как финансы и телекоммуникации. Формируется конкуренция между экосистемами/платформами, которая будет усиливаться.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Title"/>
        <w:ind w:firstLine="540"/>
        <w:jc w:val="both"/>
        <w:outlineLvl w:val="1"/>
      </w:pPr>
      <w:r>
        <w:t>Преимущества и риски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Normal"/>
        <w:ind w:firstLine="540"/>
        <w:jc w:val="both"/>
      </w:pPr>
      <w:r>
        <w:t>Уже сейчас на основе фактических наблюдений можно сказать, что цифровые экосистемы и платформы оказывают значительный позитивный эффект на экономику и социальную сферу.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>Для России развитие цифровых рынков, национальных экосистем и платформ может стать не только драйвером экономического роста, но и основой для сохранения экономического и технологического суверенитета. Для российских компаний развитие экосистем не только создает возможности для долгосрочного развития, но и помогает успешно конкурировать с зарубежными экосистемами и платформами.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Title"/>
        <w:ind w:firstLine="540"/>
        <w:jc w:val="both"/>
        <w:outlineLvl w:val="1"/>
      </w:pPr>
      <w:r>
        <w:t>Основные преимущества цифровых экосистем и платформ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Title"/>
        <w:ind w:firstLine="540"/>
        <w:jc w:val="both"/>
        <w:outlineLvl w:val="2"/>
      </w:pPr>
      <w:r>
        <w:t>Для гражданина: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Normal"/>
        <w:ind w:firstLine="540"/>
        <w:jc w:val="both"/>
      </w:pPr>
      <w:r>
        <w:t>Обеспечение интересов клиентов - быстрое и удобное удовлетворение конечных потребностей, бесшовный клиентский путь, широта выбора, привлекательные условия, снижение территориальных барьеров.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Title"/>
        <w:ind w:firstLine="540"/>
        <w:jc w:val="both"/>
        <w:outlineLvl w:val="2"/>
      </w:pPr>
      <w:r>
        <w:t>Для бизнеса: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Normal"/>
        <w:ind w:firstLine="540"/>
        <w:jc w:val="both"/>
      </w:pPr>
      <w:r>
        <w:t xml:space="preserve">Обеспечение интересов поставщиков - доступ к новой клиентской базе по всей территории Российской Федерации, удобные </w:t>
      </w:r>
      <w:proofErr w:type="gramStart"/>
      <w:r>
        <w:t>бизнес-сервисы</w:t>
      </w:r>
      <w:proofErr w:type="gramEnd"/>
      <w:r>
        <w:t xml:space="preserve"> (логистика, маркетинг, др.).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Title"/>
        <w:ind w:firstLine="540"/>
        <w:jc w:val="both"/>
        <w:outlineLvl w:val="2"/>
      </w:pPr>
      <w:r>
        <w:t>Для экономики: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Normal"/>
        <w:ind w:firstLine="540"/>
        <w:jc w:val="both"/>
      </w:pPr>
      <w:r>
        <w:t>1. Рост эффективности и прозрачности - исключение неэффективных посредников в цепочках поставок, рост конкуренции на всех уровнях участников правоотношений, снижение уровня асимметрии информации (информационная прозрачность) для пользователей, "обеление" экономики.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>2. Развитие малого и среднего предпринимательства, его прибыльности и срока жизни за счет расширения спроса и снижения издержек на фоне оптимизации бизнес-процессов.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3. Создание новых и высококвалифицированных рабочих мест - развитие </w:t>
      </w:r>
      <w:proofErr w:type="spellStart"/>
      <w:r>
        <w:t>стартапов</w:t>
      </w:r>
      <w:proofErr w:type="spellEnd"/>
      <w:r>
        <w:t xml:space="preserve"> и малого и среднего предпринимательства за счет акселерационных программ, партнерств, доступа к цифровым платформам и т.д.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>4. Привлечение инвестиций в российскую экономику - высокий потенциал активов цифровых экосистем и платформ для самостоятельного выхода на рынок капитала.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>5. Развитие национального венчурного рынка - повышение привлекательности российского рынка для лучших предпринимателей и специалистов.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Title"/>
        <w:ind w:firstLine="540"/>
        <w:jc w:val="both"/>
        <w:outlineLvl w:val="2"/>
      </w:pPr>
      <w:r>
        <w:t>Для государства: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Normal"/>
        <w:ind w:firstLine="540"/>
        <w:jc w:val="both"/>
      </w:pPr>
      <w:r>
        <w:t xml:space="preserve">1. Обеспечение национальной безопасности - стимулирование российских потребителей к переходу на отечественные экосистемы/платформы, а также предотвращение накопления </w:t>
      </w:r>
      <w:r>
        <w:lastRenderedPageBreak/>
        <w:t>иностранными экосистемами/платформами важной экономической, социологической, демографической и иной информации.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2. Развитие технологий и обеспечение технологической независимости России от иностранных экосистем/платформ - долгосрочные инвестиции, в том числе в наукоемкие отрасли и направления (например, беспилотные технологии), </w:t>
      </w:r>
      <w:proofErr w:type="gramStart"/>
      <w:r>
        <w:t>кросс-отраслевой</w:t>
      </w:r>
      <w:proofErr w:type="gramEnd"/>
      <w:r>
        <w:t xml:space="preserve"> трансфер технологий.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Title"/>
        <w:ind w:firstLine="540"/>
        <w:jc w:val="both"/>
        <w:outlineLvl w:val="1"/>
      </w:pPr>
      <w:r>
        <w:t>Характеристика проблем, рисков и вызовов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Normal"/>
        <w:ind w:firstLine="540"/>
        <w:jc w:val="both"/>
      </w:pPr>
      <w:r>
        <w:t>Активное развитие платформ и экосистем в мире формирует ряд рисков/вызовов: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>1. Быстрые изменения в связи с внедрением современных технологий и развитием цифровых платформ/экосистем повышают требования к скорости реагирования и формированию регуляторной политики со стороны государства.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>2. Риски, возникающие в результате развития экосистем/платформ, приобретения и злоупотребления ими доминирующим положением, схожи с аналогичными рисками классического бизнеса, но могут иметь свои особенности в части регулирования.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>3. Развитие экосистем/платформ может обострять вопросы доминирования, в частности могут возникать риски монополизации данных.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4. Требуется учет специфики цифровых продуктов/услуг и особенностей экосистем/платформ при разработке механизмов </w:t>
      </w:r>
      <w:proofErr w:type="spellStart"/>
      <w:r>
        <w:t>митигации</w:t>
      </w:r>
      <w:proofErr w:type="spellEnd"/>
      <w:r>
        <w:t xml:space="preserve"> рисков.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5. Риски, связанные с экосистемами/платформами, </w:t>
      </w:r>
      <w:proofErr w:type="spellStart"/>
      <w:r>
        <w:t>услугубляются</w:t>
      </w:r>
      <w:proofErr w:type="spellEnd"/>
      <w:r>
        <w:t xml:space="preserve"> возможным трансграничным характером взаимодействия в рамках экосистемы/платформы.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Normal"/>
        <w:ind w:firstLine="540"/>
        <w:jc w:val="both"/>
      </w:pPr>
      <w:r>
        <w:t>Риски, связанные с распространением экосистем, можно сгруппировать по категориям.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Title"/>
        <w:ind w:firstLine="540"/>
        <w:jc w:val="both"/>
        <w:outlineLvl w:val="2"/>
      </w:pPr>
      <w:r>
        <w:t>Для гражданина: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Normal"/>
        <w:ind w:firstLine="540"/>
        <w:jc w:val="both"/>
      </w:pPr>
      <w:r>
        <w:t>Злоупотребление отношениями с клиентами, например, продажи путем введения в заблуждение, навязывание товаров и услуг, недостаток ответственности платформ за конечные продукты и услуги, ущемление прав потребителей.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Title"/>
        <w:ind w:firstLine="540"/>
        <w:jc w:val="both"/>
        <w:outlineLvl w:val="2"/>
      </w:pPr>
      <w:r>
        <w:t>Для бизнеса: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Normal"/>
        <w:ind w:firstLine="540"/>
        <w:jc w:val="both"/>
      </w:pPr>
      <w:r>
        <w:t>Практики недобросовестной конкуренции, которые также предстоит уточнить в контексте развития экосистем/платформ.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Title"/>
        <w:ind w:firstLine="540"/>
        <w:jc w:val="both"/>
        <w:outlineLvl w:val="2"/>
      </w:pPr>
      <w:r>
        <w:t>Для экономики и государства: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Normal"/>
        <w:ind w:firstLine="540"/>
        <w:jc w:val="both"/>
      </w:pPr>
      <w:r>
        <w:t xml:space="preserve">1. В условиях отсутствия конкурентоспособных национальных экосистем и платформ и с учетом трансграничной специфики взаимодействия развитие иностранных экосистем/платформ приводит к снижению конкурентоспособности национальной экономики, налогооблагаемой базы и формирует риски утраты </w:t>
      </w:r>
      <w:proofErr w:type="gramStart"/>
      <w:r>
        <w:t>контроля за</w:t>
      </w:r>
      <w:proofErr w:type="gramEnd"/>
      <w:r>
        <w:t xml:space="preserve"> использованием данных, в том числе персональных и коммерческих.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2. </w:t>
      </w:r>
      <w:proofErr w:type="spellStart"/>
      <w:proofErr w:type="gramStart"/>
      <w:r>
        <w:t>Кибер</w:t>
      </w:r>
      <w:proofErr w:type="spellEnd"/>
      <w:r>
        <w:t>-риски</w:t>
      </w:r>
      <w:proofErr w:type="gramEnd"/>
      <w:r>
        <w:t>, технологические риски и риски для безопасности персональных данных клиентов цифровых экосистем и платформ.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>Указанные риски формируют запрос на выработку государственной политики в сфере регулирования деятельности цифровых платформ и экосистем и формирование безопасной цифровой среды, включая развитие национальных экосистем и платформ.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Title"/>
        <w:ind w:firstLine="540"/>
        <w:jc w:val="both"/>
        <w:outlineLvl w:val="1"/>
      </w:pPr>
      <w:r>
        <w:t>Международный опыт правового регулирования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Normal"/>
        <w:ind w:firstLine="540"/>
        <w:jc w:val="both"/>
      </w:pPr>
      <w:r>
        <w:t>Активная экспансия иностранных цифровых платформ и экосистем стимулирует регуляторов прорабатывать регуляторные инициативы. Во всех странах целью регулирования является защита интересов локальных поставщиков и потребителей. При этом для США и Китая, помимо указанной цели, главным направлением регулирования является ограждение национального рынка от выхода на него иностранных экосистем/платформ. Власти этих стран считают данную тему вопросом национальной безопасности.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Title"/>
        <w:ind w:firstLine="540"/>
        <w:jc w:val="both"/>
        <w:outlineLvl w:val="2"/>
      </w:pPr>
      <w:r>
        <w:t>В США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Normal"/>
        <w:ind w:firstLine="540"/>
        <w:jc w:val="both"/>
      </w:pPr>
      <w:r>
        <w:t xml:space="preserve">На американский рынок был запрещен выход </w:t>
      </w:r>
      <w:proofErr w:type="gramStart"/>
      <w:r>
        <w:t>китайского</w:t>
      </w:r>
      <w:proofErr w:type="gramEnd"/>
      <w:r>
        <w:t xml:space="preserve"> </w:t>
      </w:r>
      <w:proofErr w:type="spellStart"/>
      <w:r>
        <w:t>AntFinancial</w:t>
      </w:r>
      <w:proofErr w:type="spellEnd"/>
      <w:r>
        <w:t xml:space="preserve">. С точки зрения защиты локальных потребителей и поставщиков, Комитет при Конгрессе в 2020 году начал расследование неконкурентного поведения крупных экосистем </w:t>
      </w:r>
      <w:proofErr w:type="spellStart"/>
      <w:r>
        <w:t>Facebook</w:t>
      </w:r>
      <w:proofErr w:type="spellEnd"/>
      <w:r>
        <w:t xml:space="preserve">, </w:t>
      </w:r>
      <w:proofErr w:type="spellStart"/>
      <w:r>
        <w:t>Google</w:t>
      </w:r>
      <w:proofErr w:type="spellEnd"/>
      <w:r>
        <w:t xml:space="preserve">, </w:t>
      </w:r>
      <w:proofErr w:type="spellStart"/>
      <w:r>
        <w:t>Amazon</w:t>
      </w:r>
      <w:proofErr w:type="spellEnd"/>
      <w:r>
        <w:t xml:space="preserve"> и </w:t>
      </w:r>
      <w:proofErr w:type="spellStart"/>
      <w:r>
        <w:t>Apple</w:t>
      </w:r>
      <w:proofErr w:type="spellEnd"/>
      <w:r>
        <w:t xml:space="preserve"> в рамках действующего антимонопольного законодательства США. По итогам расследования Комитет Конгресса составил перечень </w:t>
      </w:r>
      <w:proofErr w:type="gramStart"/>
      <w:r>
        <w:t>из</w:t>
      </w:r>
      <w:proofErr w:type="gramEnd"/>
      <w:r>
        <w:t xml:space="preserve"> более </w:t>
      </w:r>
      <w:proofErr w:type="gramStart"/>
      <w:r>
        <w:t>чем</w:t>
      </w:r>
      <w:proofErr w:type="gramEnd"/>
      <w:r>
        <w:t xml:space="preserve"> 10 рекомендаций, направленных на ограничение злоупотреблений крупнейших экосистем своим доминирующим положением, в том числе ограничение для будущих сделок M&amp;A, возможное разделение бизнесов компаний. Данное расследование вызвало волну исков против крупнейших экосистем США.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Title"/>
        <w:ind w:firstLine="540"/>
        <w:jc w:val="both"/>
        <w:outlineLvl w:val="2"/>
      </w:pPr>
      <w:r>
        <w:t>В Китае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Normal"/>
        <w:ind w:firstLine="540"/>
        <w:jc w:val="both"/>
      </w:pPr>
      <w:r>
        <w:t xml:space="preserve">В Китае, где также цифровые рынки и экосистемы уже сформировались, в 2019 году принят закон об электронной коммерции, который направлен на защиту персональных данных и прав покупателей, борьбу с контрафактной продукцией, </w:t>
      </w:r>
      <w:proofErr w:type="spellStart"/>
      <w:r>
        <w:t>фейковыми</w:t>
      </w:r>
      <w:proofErr w:type="spellEnd"/>
      <w:r>
        <w:t xml:space="preserve"> отзывами и прочее. Кроме того, ряд исков в 2019 - 2020 годах антимонопольного органа Китая к </w:t>
      </w:r>
      <w:proofErr w:type="spellStart"/>
      <w:r>
        <w:t>Alibaba</w:t>
      </w:r>
      <w:proofErr w:type="spellEnd"/>
      <w:r>
        <w:t xml:space="preserve">, JD.com и </w:t>
      </w:r>
      <w:proofErr w:type="spellStart"/>
      <w:r>
        <w:t>Tencent</w:t>
      </w:r>
      <w:proofErr w:type="spellEnd"/>
      <w:r>
        <w:t xml:space="preserve"> о злоупотреблениях доминирующим положением стал одним из триггеров к дополнению антимонопольного законодательства.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Title"/>
        <w:ind w:firstLine="540"/>
        <w:jc w:val="both"/>
        <w:outlineLvl w:val="2"/>
      </w:pPr>
      <w:r>
        <w:t>В странах ЕС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Normal"/>
        <w:ind w:firstLine="540"/>
        <w:jc w:val="both"/>
      </w:pPr>
      <w:r>
        <w:t xml:space="preserve">По мере активного развития глобальных крупнейших экосистем на рынке ЕС Еврокомиссия с 2017 года обеспокоена вопросом их регулирования: были предъявлены иски к </w:t>
      </w:r>
      <w:proofErr w:type="spellStart"/>
      <w:r>
        <w:t>Google</w:t>
      </w:r>
      <w:proofErr w:type="spellEnd"/>
      <w:r>
        <w:t xml:space="preserve"> и </w:t>
      </w:r>
      <w:proofErr w:type="spellStart"/>
      <w:r>
        <w:t>Facebook</w:t>
      </w:r>
      <w:proofErr w:type="spellEnd"/>
      <w:r>
        <w:t xml:space="preserve">. Европейским союзом в 2020 году разработаны проекты нормативных правовых актов в части регулирования цифровых рынков, цифровых услуг, данных. При этом акценты сделаны на защите пользователей и борьбе с нелегальным контентом, недопущении злоупотребления доминирующим положением платформ и экосистем и на развитии европейских рынков. В части регулирования данных ключевые положения направлены на создание условий для безопасного хранения мировых данных в Европе, регулирование и стандартизацию доступа к промышленным данным, защиту персональных данных. </w:t>
      </w:r>
      <w:proofErr w:type="gramStart"/>
      <w:r>
        <w:t>Кроме того, ряд европейских стран принял (Франция, Испания, Италия, Польша и др.) или предложил принять (Бельгия, Чехия, Словакия) меры по вводу цифрового налога.</w:t>
      </w:r>
      <w:proofErr w:type="gramEnd"/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Title"/>
        <w:ind w:firstLine="540"/>
        <w:jc w:val="both"/>
        <w:outlineLvl w:val="1"/>
      </w:pPr>
      <w:r>
        <w:t>Российский опыт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Normal"/>
        <w:ind w:firstLine="540"/>
        <w:jc w:val="both"/>
      </w:pPr>
      <w:r>
        <w:t xml:space="preserve">В России сложились благоприятные условия для формирования национальной технологической индустрии, есть востребованность инновационных решений со стороны населения. Тренд на расширение продуктовой линейки, предлагаемой потребителю, на </w:t>
      </w:r>
      <w:proofErr w:type="spellStart"/>
      <w:r>
        <w:t>бесшовность</w:t>
      </w:r>
      <w:proofErr w:type="spellEnd"/>
      <w:r>
        <w:t xml:space="preserve"> получения таких услуг отчетливо прослеживается как у крупнейших технологических компаний из секторов телекоммуникаций, поисковых </w:t>
      </w:r>
      <w:proofErr w:type="gramStart"/>
      <w:r>
        <w:t>интернет-сервисов</w:t>
      </w:r>
      <w:proofErr w:type="gramEnd"/>
      <w:r>
        <w:t>, электронной коммерции, так и в финансовой отрасли.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Российские экосистемы/платформы конкурируют как между собой, так и с иностранными </w:t>
      </w:r>
      <w:r>
        <w:lastRenderedPageBreak/>
        <w:t>экосистемами/платформами, которые в том числе предоставляют отдельные цифровые продукты и услуги. Такая конкуренция в условиях даже равного регулирования чрезвычайно трудна для российских компаний в силу кардинального различия в их инвестиционных возможностях относительно иностранных игроков. Для ряда национальных цифровых продуктов/услуг поддержание конкурентоспособности относительно иностранных аналогов, вплоть до выживаемости, возможно только в качестве участника/партнера национальной экосистемы. Введение регуляторных ограничений для российских экосистем и платформ должно поддерживать равный баланс сил на рынке и не должно создавать преимуще</w:t>
      </w:r>
      <w:proofErr w:type="gramStart"/>
      <w:r>
        <w:t>ств дл</w:t>
      </w:r>
      <w:proofErr w:type="gramEnd"/>
      <w:r>
        <w:t>я иностранных экосистем и платформ.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Title"/>
        <w:ind w:firstLine="540"/>
        <w:jc w:val="both"/>
        <w:outlineLvl w:val="1"/>
      </w:pPr>
      <w:r>
        <w:t>Ожидаемые результаты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Normal"/>
        <w:ind w:firstLine="540"/>
        <w:jc w:val="both"/>
      </w:pPr>
      <w:r>
        <w:t>Настоящая Концепция направлена на создание сбалансированных регуляторных условий для участников цифровых рынков - безопасной цифровой среды, развития национальных экосистем и платформ и развития национальной экономики.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Общественно значимым результатом внедрения настоящей Концепции является становление системы отношений, обеспечивающей гарантированный доступ граждан Российской Федерации к экономическим и социальным благам, формируемым на основе использования цифровых технологий, создание условий для формирования </w:t>
      </w:r>
      <w:proofErr w:type="spellStart"/>
      <w:r>
        <w:t>высококонкурентных</w:t>
      </w:r>
      <w:proofErr w:type="spellEnd"/>
      <w:r>
        <w:t xml:space="preserve"> цифровых рынков и сохранение национальной технологической независимости.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Title"/>
        <w:ind w:firstLine="540"/>
        <w:jc w:val="both"/>
        <w:outlineLvl w:val="0"/>
      </w:pPr>
      <w:r>
        <w:t>II. ОБЪЕКТ И ПРЕДМЕТ РЕГУЛИРОВАНИЯ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Normal"/>
        <w:ind w:firstLine="540"/>
        <w:jc w:val="both"/>
      </w:pPr>
      <w:r>
        <w:t xml:space="preserve">В рамках настоящей Концепции в качестве предмета регулирования рассматриваются отношения, возникающие </w:t>
      </w:r>
      <w:proofErr w:type="gramStart"/>
      <w:r>
        <w:t>между</w:t>
      </w:r>
      <w:proofErr w:type="gramEnd"/>
      <w:r>
        <w:t>: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>- национальными экосистемами/платформами;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>- национальными и иностранными экосистемами/платформами;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>- группой компаний одной экосистемы и прочими участниками экономической деятельности (внутрикорпоративные отношения);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>- экосистемами/платформами и гражданами;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>- экосистемами/платформами и бизнесом/поставщиками;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>- экосистемами/платформами и государством.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Title"/>
        <w:ind w:firstLine="540"/>
        <w:jc w:val="both"/>
        <w:outlineLvl w:val="0"/>
      </w:pPr>
      <w:r>
        <w:t>III. ЦЕЛИ, ЗАДАЧИ И ПРИНЦИПЫ ГОСУДАРСТВЕННОГО РЕГУЛИРОВАНИЯ ДЕЯТЕЛЬНОСТИ ЦИФРОВЫХ ЭКОСИСТЕМ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Normal"/>
        <w:ind w:firstLine="540"/>
        <w:jc w:val="both"/>
      </w:pPr>
      <w:r>
        <w:t>Целью реализации настоящей Концепции является формирование регуляторной среды, обеспечивающей благоприятный правовой режим для возникновения и развития современных технологий и осуществления экономической деятельности, а также благоприятных условий для развития эффективной конкуренции. При этом необходимо обеспечить защищенность граждан и поставщиков, технологический суверенитет и устойчивое социально-экономическое развитие в условиях цифровой экономики.</w:t>
      </w:r>
    </w:p>
    <w:p w:rsidR="00451AF2" w:rsidRDefault="00451AF2">
      <w:pPr>
        <w:pStyle w:val="ConsPlusNormal"/>
        <w:spacing w:before="220"/>
        <w:ind w:firstLine="540"/>
        <w:jc w:val="both"/>
      </w:pPr>
      <w:proofErr w:type="gramStart"/>
      <w:r>
        <w:t xml:space="preserve">Целью регулирования цифровых экосистем и платформ на данном этапе их становления является поддержание качественной конкуренции на российском рынке для всех игроков вне зависимости от их принадлежности к той или иной экосистеме, развитие национальных экосистем/платформ в Российской Федерации в условиях конкуренции с иностранными экосистемами/платформами, защита интересов поставщиков и потребителей товаров и услуг </w:t>
      </w:r>
      <w:r>
        <w:lastRenderedPageBreak/>
        <w:t>экосистем/платформ, что будет способствовать экономическому росту</w:t>
      </w:r>
      <w:proofErr w:type="gramEnd"/>
      <w:r>
        <w:t xml:space="preserve">, </w:t>
      </w:r>
      <w:proofErr w:type="spellStart"/>
      <w:r>
        <w:t>цифровизации</w:t>
      </w:r>
      <w:proofErr w:type="spellEnd"/>
      <w:r>
        <w:t xml:space="preserve"> и технологическому развитию Российской Федерации.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>Регулирование должно быть своевременным и не препятствовать развитию инноваций, экосистем и отдельных цифровых платформ, которые еще находятся на стадии становления и бросают вызов иностранным экосистемам, в том числе на глобальных рынках. Правовой режим должен создать благоприятные условия для поступательного развития национальных экосистем/платформ. Кроме того, стратегически важно избегать ситуаций, когда регулирование российских экосистем/платформ будет ослаблять их позиции по сравнению с зарубежными экосистемами/платформами, работающими на рынке России.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Title"/>
        <w:ind w:firstLine="540"/>
        <w:jc w:val="both"/>
        <w:outlineLvl w:val="1"/>
      </w:pPr>
      <w:r>
        <w:t>Задачи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Normal"/>
        <w:ind w:firstLine="540"/>
        <w:jc w:val="both"/>
      </w:pPr>
      <w:r>
        <w:t>С учетом заявленной цели выделяются следующие задачи регулирования: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>1. Создание правовых основ для защиты от иностранных экосистем и платформ - обеспечение преференциального положения национальных экосистем и платформ на российском рынке с учетом принятых Российской Федерацией международных обязательств.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2. Создание правовых основ для поддержания качественной конкуренции на российском рынке как между лидирующими </w:t>
      </w:r>
      <w:proofErr w:type="spellStart"/>
      <w:r>
        <w:t>экосистемными</w:t>
      </w:r>
      <w:proofErr w:type="spellEnd"/>
      <w:r>
        <w:t xml:space="preserve"> </w:t>
      </w:r>
      <w:proofErr w:type="gramStart"/>
      <w:r>
        <w:t>бизнес-моделями</w:t>
      </w:r>
      <w:proofErr w:type="gramEnd"/>
      <w:r>
        <w:t xml:space="preserve">, так и с менее крупными платформами, а также </w:t>
      </w:r>
      <w:proofErr w:type="spellStart"/>
      <w:r>
        <w:t>нишевыми</w:t>
      </w:r>
      <w:proofErr w:type="spellEnd"/>
      <w:r>
        <w:t xml:space="preserve"> поставщиками товаров и услуг.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>3. Создание правовых основ для дальнейшего развития национальных экосистем и платформ.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>4. Соблюдение интересов потребителей и поставщиков экосистем/платформ.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Title"/>
        <w:ind w:firstLine="540"/>
        <w:jc w:val="both"/>
        <w:outlineLvl w:val="1"/>
      </w:pPr>
      <w:r>
        <w:t>Принципы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Normal"/>
        <w:ind w:firstLine="540"/>
        <w:jc w:val="both"/>
      </w:pPr>
      <w:r>
        <w:t>Для обеспечения условий развития цифровых рынков, функционирования и развития цифровых экосистем и платформ необходимо соблюдение следующих принципов: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>- безопасность цифровой среды;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- </w:t>
      </w:r>
      <w:proofErr w:type="spellStart"/>
      <w:r>
        <w:t>бесшовность</w:t>
      </w:r>
      <w:proofErr w:type="spellEnd"/>
      <w:r>
        <w:t xml:space="preserve"> инструментов и механизмов поддержки;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- </w:t>
      </w:r>
      <w:proofErr w:type="spellStart"/>
      <w:r>
        <w:t>преферециальные</w:t>
      </w:r>
      <w:proofErr w:type="spellEnd"/>
      <w:r>
        <w:t xml:space="preserve"> условия ведения деятельности национальными участниками рынка </w:t>
      </w:r>
      <w:proofErr w:type="gramStart"/>
      <w:r>
        <w:t>перед</w:t>
      </w:r>
      <w:proofErr w:type="gramEnd"/>
      <w:r>
        <w:t xml:space="preserve"> иностранными;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>- предотвращение регуляторного и налогового арбитража, в том числе в пользу иностранных платформ и экосистем;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>- здоровая конкуренция между национальными экосистемами/платформами;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>- прозрачность условий доступа потребителей к сервисам цифровой экосистемы и платформы, не допускающих неограниченного усмотрения собственника экосистемы;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>- свобода перехода пользователей между цифровыми платформами, экосистемами;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>- свобода распоряжения пользователями своими данными, хранящимися и обрабатываемыми цифровой платформой, экосистемой;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>- недопущение навязывания платформами и экосистемами собственных сервисов, создания дискриминационных условий;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lastRenderedPageBreak/>
        <w:t>- недопущение ограничения выбора потребителя;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>- открытость;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>- взаимность.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Title"/>
        <w:ind w:firstLine="540"/>
        <w:jc w:val="both"/>
        <w:outlineLvl w:val="0"/>
      </w:pPr>
      <w:r>
        <w:t>IV. НАПРАВЛЕНИЯ И МЕХАНИЗМЫ РЕАЛИЗАЦИИ КОНЦЕПЦИИ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Title"/>
        <w:ind w:firstLine="540"/>
        <w:jc w:val="both"/>
        <w:outlineLvl w:val="1"/>
      </w:pPr>
      <w:r>
        <w:t>Направления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Normal"/>
        <w:ind w:firstLine="540"/>
        <w:jc w:val="both"/>
      </w:pPr>
      <w:r>
        <w:t>Настоящая Концепция определяет подходы к общему регулированию по следующим направлениям: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>- регулирование в интересах развития национальных экосистем и платформ: налоговое стимулирование, преференции локальным игрокам, развитие конкурентной среды, предотвращение регуляторного и налогового арбитража, др.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- проведение государственной политики поддержки внутренней конкуренции в целях сохранения оптимальной структуры рынка: конкуренция между крупными экосистемами, наличие менее крупных платформ и </w:t>
      </w:r>
      <w:proofErr w:type="spellStart"/>
      <w:r>
        <w:t>нишевых</w:t>
      </w:r>
      <w:proofErr w:type="spellEnd"/>
      <w:r>
        <w:t xml:space="preserve"> участников, создание условий для выхода новых игроков на рынок платформенных сервисов;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>- защита прав и интересов потребителей и поставщиков как внутри экосистем, так и за их периметром;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>- обеспечение условий для инновационного развития экономики, а также повышения конкурентоспособности национальных платформ и экосистем;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>- содержательный пересмотр понятия недобросовестных конкурентных практик и активное противодействие им;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>- отсутствие преференций в адрес отдельных экосистем со стороны государства, включая отсутствие преференций в отношении государственных услуг и инфраструктуры на рынке (</w:t>
      </w:r>
      <w:proofErr w:type="spellStart"/>
      <w:r>
        <w:t>равноудаленность</w:t>
      </w:r>
      <w:proofErr w:type="spellEnd"/>
      <w:r>
        <w:t>);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>- интеграция в международную повестку вопросов платформенного регулирования, участие в выработке международных принципов и подходов в отношении регулирования платформ и экосистем.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>В целях реализации настоящей Концепции система общего регулирования рассматривается как единый механизм, обеспечивающий сбор обратной связи и учет приоритетов граждан, бизнеса, некоммерческих объединений и государства. Совокупность приоритетов используется для целей стратегического планирования и формирования целевых моделей отраслей и секторов экономики, оценки регулирующего и фактического воздействия, а также систем управления инициативами и изменениями. Результатом выработки политики становится применение в соответствующих сегментах инструментов воздействия, включающих в себя ограничения, предписания, стимулирование и сотрудничество.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Title"/>
        <w:ind w:firstLine="540"/>
        <w:jc w:val="both"/>
        <w:outlineLvl w:val="1"/>
      </w:pPr>
      <w:r>
        <w:t>Механизмы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Normal"/>
        <w:ind w:firstLine="540"/>
        <w:jc w:val="both"/>
      </w:pPr>
      <w:r>
        <w:t>С учетом специфики действующего законодательства для развития системы общего регулирования будут реализованы следующие механизмы: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1. Меры содействия развитию национальных цифровых платформ и экосистем с целью поддержания их конкурентоспособности с международными экосистемами и платформами на российском рынке при соблюдении договоренностей по ВТО и иных международных соглашений. </w:t>
      </w:r>
      <w:r>
        <w:lastRenderedPageBreak/>
        <w:t>Выстраивание отношений с иностранными регуляторами по выработке подходов по допуску иностранных экосистем/платформ на национальные рынки, с обязательным условием допуска в них национальных поставщиков товаров и услуг.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>2. Развитие антимонопольных инструментов. Необходимо произвести пересмотр определений, в первую очередь, периметра и оценки влияния субъектов антимонопольного законодательства. Важно определить критерии цифровых экосистем, платформ, иностранных и национальных, доминирующих, сегменты рынка (продукты, услуги), их границы. Необходим контроль ФАС России за недобросовестным поведением экосистем/платформ и наличие критериев, в соответствии с которыми возможно применение антимонопольных мер. Отдельное внимание уделяется сделкам слияния и поглощения (M&amp;A) доминирующих экосистем и платформ, в том числе в сфере технологических компаний (может быть введено правило согласования сделок с ФАС России в зависимости от размера сделки и ее влияния на рынок). Нуждается в пересмотре также понятие недобросовестных практик в условиях платформенной экономики.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Введение понятия открытости экосистем и платформ и введение правил открытой модели, в случае если они не создают преференциальные условия глобальным экосистемам и платформам, работающим на российском рынке, а также применение мер в части обеспечения защиты не аффилированных с экосистемой/платформой поставщиков, допущенных в такую экосистему/платформу, в том числе предотвращение их тарифной, технологической, операционной, информационной дискриминации, включая дискриминацию в части</w:t>
      </w:r>
      <w:proofErr w:type="gramEnd"/>
      <w:r>
        <w:t xml:space="preserve"> поисковых и рекламных услуг.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4. Меры по обеспечению непрерывности деятельности крупных экосистем и платформ, а также информационной безопасности и противодействию мошенничеству. </w:t>
      </w:r>
      <w:proofErr w:type="gramStart"/>
      <w:r>
        <w:t>Поддержание приемлемого уровня стабильности, непрерывности и защищенности функционирования организаций, действующим в едином киберпространстве с фокусом на обеспечение стабильности функционирования общества, организаций и государства; защищенность имущества (в том числе информации) граждан и организаций; безопасность жизни и здоровья граждан.</w:t>
      </w:r>
      <w:proofErr w:type="gramEnd"/>
    </w:p>
    <w:p w:rsidR="00451AF2" w:rsidRDefault="00451AF2">
      <w:pPr>
        <w:pStyle w:val="ConsPlusNormal"/>
        <w:spacing w:before="220"/>
        <w:ind w:firstLine="540"/>
        <w:jc w:val="both"/>
      </w:pPr>
      <w:r>
        <w:t>5. Комплекс мер по регулированию управления данными, включая их защиту, принципы использования внутри экосистемы и за ее периметром, право клиента на распоряжение своими данными.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6. Обеспечение свободного перехода потребителей между экосистемами/платформами и </w:t>
      </w:r>
      <w:proofErr w:type="spellStart"/>
      <w:r>
        <w:t>нишевыми</w:t>
      </w:r>
      <w:proofErr w:type="spellEnd"/>
      <w:r>
        <w:t xml:space="preserve"> поставщиками в целях поддержания конкурентной среды на соответствующих базовых рынках товаров и услуг, включая обеспечение цифровой грамотности населения и возможности выбора потребителями пакета услуг или услуг по отдельности.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>Соответствующие механизмы должны обеспечивать формирование безопасной цифровой среды и благоприятных условий для создания, развития и функционирования национальных цифровых платформ, экосистем на всех этапах жизненного цикла от цифровых платформ до цифровых экосистем и экономики:</w:t>
      </w:r>
    </w:p>
    <w:p w:rsidR="00451AF2" w:rsidRDefault="00451AF2">
      <w:pPr>
        <w:pStyle w:val="ConsPlusNormal"/>
        <w:spacing w:before="220"/>
        <w:ind w:firstLine="540"/>
        <w:jc w:val="both"/>
      </w:pPr>
      <w:proofErr w:type="gramStart"/>
      <w:r>
        <w:t xml:space="preserve">- На этапе развития цифровых сервисов и их трансформации в цифровую платформу применяются меры государственной поддержки при соблюдении принципа </w:t>
      </w:r>
      <w:proofErr w:type="spellStart"/>
      <w:r>
        <w:t>равноудаленности</w:t>
      </w:r>
      <w:proofErr w:type="spellEnd"/>
      <w:r>
        <w:t xml:space="preserve"> государства в целях стимулирования появления новых сервисов и услуг с использованием цифровых технологий, а также механизмы экспериментальных правовых режимов для создания соответствующих правовых условий в тех секторах, где текущее регулирование ограничивает их появление и развитие.</w:t>
      </w:r>
      <w:proofErr w:type="gramEnd"/>
      <w:r>
        <w:t xml:space="preserve"> При этом обеспечение доверенной цифровой среды осуществляется посредством механизмов защиты прав потребителей и защиты персональных данных.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 xml:space="preserve">- Обеспечение доверенной цифровой среды осуществляется также регулированием обмена данными между цифровыми сервисами, обеспечением защиты цифровых активов, обеспечением </w:t>
      </w:r>
      <w:r>
        <w:lastRenderedPageBreak/>
        <w:t>недискриминационного доступа, соблюдением единых требований, стандартов, регулированием налогообложения.</w:t>
      </w:r>
    </w:p>
    <w:p w:rsidR="00451AF2" w:rsidRDefault="00451AF2">
      <w:pPr>
        <w:pStyle w:val="ConsPlusNormal"/>
        <w:spacing w:before="220"/>
        <w:ind w:firstLine="540"/>
        <w:jc w:val="both"/>
      </w:pPr>
      <w:r>
        <w:t>- При формировании рынка экосистем требуются механизмы обеспечения устойчивого развития. Обеспечение доверенной цифровой среды осуществляется обеспечением технологического суверенитета, снижением барьеров на переход из одной экосистемы в другую, антимонопольным регулированием.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Title"/>
        <w:ind w:firstLine="540"/>
        <w:jc w:val="both"/>
        <w:outlineLvl w:val="0"/>
      </w:pPr>
      <w:r>
        <w:t>V. ПОРЯДОК РЕАЛИЗАЦИИ КОНЦЕПЦИИ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Normal"/>
        <w:ind w:firstLine="540"/>
        <w:jc w:val="both"/>
      </w:pPr>
      <w:r>
        <w:t xml:space="preserve">Реализация настоящей Концепции будет осуществляться в рамках национальной </w:t>
      </w:r>
      <w:hyperlink r:id="rId26" w:history="1">
        <w:r>
          <w:rPr>
            <w:color w:val="0000FF"/>
          </w:rPr>
          <w:t>программы</w:t>
        </w:r>
      </w:hyperlink>
      <w:r>
        <w:t xml:space="preserve"> "Цифровая экономика" с применением механизмов государственно-частного партнерства.</w:t>
      </w: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Normal"/>
        <w:jc w:val="both"/>
      </w:pPr>
    </w:p>
    <w:p w:rsidR="00451AF2" w:rsidRDefault="00451A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78B6" w:rsidRDefault="00D778B6"/>
    <w:sectPr w:rsidR="00D778B6" w:rsidSect="00671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AF2"/>
    <w:rsid w:val="002B221B"/>
    <w:rsid w:val="00451AF2"/>
    <w:rsid w:val="008551B1"/>
    <w:rsid w:val="00D7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A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1A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1A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A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1A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1A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384737A86E69DEC73BC7C6E29D4E8DE2AA108791A962E09E9FCAF8DC0C6DDC4E49A7108A0B4FDFE674174B9Ay8WCF" TargetMode="External"/><Relationship Id="rId13" Type="http://schemas.openxmlformats.org/officeDocument/2006/relationships/hyperlink" Target="consultantplus://offline/ref=8F384737A86E69DEC73BC7C6E29D4E8DE2A8108C9EA662E09E9FCAF8DC0C6DDC4E49A7108A0B4FDFE674174B9Ay8WCF" TargetMode="External"/><Relationship Id="rId18" Type="http://schemas.openxmlformats.org/officeDocument/2006/relationships/hyperlink" Target="consultantplus://offline/ref=8F384737A86E69DEC73BC7C6E29D4E8DE2A8158698A062E09E9FCAF8DC0C6DDC4E49A7108A0B4FDFE674174B9Ay8WCF" TargetMode="External"/><Relationship Id="rId26" Type="http://schemas.openxmlformats.org/officeDocument/2006/relationships/hyperlink" Target="consultantplus://offline/ref=8F384737A86E69DEC73BC7C6E29D4E8DE2AD1F879DA462E09E9FCAF8DC0C6DDC4E49A7108A0B4FDFE674174B9Ay8WC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F384737A86E69DEC73BC7C6E29D4E8DE2A81F8799A162E09E9FCAF8DC0C6DDC4E49A7108A0B4FDFE674174B9Ay8WCF" TargetMode="External"/><Relationship Id="rId7" Type="http://schemas.openxmlformats.org/officeDocument/2006/relationships/hyperlink" Target="consultantplus://offline/ref=8F384737A86E69DEC73BC7C6E29D4E8DE2A911869DA062E09E9FCAF8DC0C6DDC4E49A7108A0B4FDFE674174B9Ay8WCF" TargetMode="External"/><Relationship Id="rId12" Type="http://schemas.openxmlformats.org/officeDocument/2006/relationships/hyperlink" Target="consultantplus://offline/ref=8F384737A86E69DEC73BC7C6E29D4E8DE2A8178C9BA662E09E9FCAF8DC0C6DDC4E49A7108A0B4FDFE674174B9Ay8WCF" TargetMode="External"/><Relationship Id="rId17" Type="http://schemas.openxmlformats.org/officeDocument/2006/relationships/hyperlink" Target="consultantplus://offline/ref=8F384737A86E69DEC73BC7C6E29D4E8DE2AB158A90A562E09E9FCAF8DC0C6DDC4E49A7108A0B4FDFE674174B9Ay8WCF" TargetMode="External"/><Relationship Id="rId25" Type="http://schemas.openxmlformats.org/officeDocument/2006/relationships/hyperlink" Target="consultantplus://offline/ref=8F384737A86E69DEC73BC7C6E29D4E8DE2A715899BA762E09E9FCAF8DC0C6DDC4E49A7108A0B4FDFE674174B9Ay8WC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F384737A86E69DEC73BC7C6E29D4E8DE2A7148B99A262E09E9FCAF8DC0C6DDC4E49A7108A0B4FDFE674174B9Ay8WCF" TargetMode="External"/><Relationship Id="rId20" Type="http://schemas.openxmlformats.org/officeDocument/2006/relationships/hyperlink" Target="consultantplus://offline/ref=8F384737A86E69DEC73BC7C6E29D4E8DE2A8148E9BA062E09E9FCAF8DC0C6DDC4E49A7108A0B4FDFE674174B9Ay8WC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F384737A86E69DEC73BC7C6E29D4E8DE2A81F879BA162E09E9FCAF8DC0C6DDC4E49A7108A0B4FDFE674174B9Ay8WCF" TargetMode="External"/><Relationship Id="rId11" Type="http://schemas.openxmlformats.org/officeDocument/2006/relationships/hyperlink" Target="consultantplus://offline/ref=8F384737A86E69DEC73BC7C6E29D4E8DE2A816889CA162E09E9FCAF8DC0C6DDC4E49A7108A0B4FDFE674174B9Ay8WCF" TargetMode="External"/><Relationship Id="rId24" Type="http://schemas.openxmlformats.org/officeDocument/2006/relationships/hyperlink" Target="consultantplus://offline/ref=8F384737A86E69DEC73BC7C6E29D4E8DE2A8158791A362E09E9FCAF8DC0C6DDC4E49A7108A0B4FDFE674174B9Ay8WCF" TargetMode="External"/><Relationship Id="rId5" Type="http://schemas.openxmlformats.org/officeDocument/2006/relationships/hyperlink" Target="consultantplus://offline/ref=8F384737A86E69DEC73BC7C6E29D4E8DE3A7108A93F635E2CFCAC4FDD45C37CC4A00F315950357C1E26A17y4WAF" TargetMode="External"/><Relationship Id="rId15" Type="http://schemas.openxmlformats.org/officeDocument/2006/relationships/hyperlink" Target="consultantplus://offline/ref=8F384737A86E69DEC73BC7C6E29D4E8DE2A8158698A162E09E9FCAF8DC0C6DDC4E49A7108A0B4FDFE674174B9Ay8WCF" TargetMode="External"/><Relationship Id="rId23" Type="http://schemas.openxmlformats.org/officeDocument/2006/relationships/hyperlink" Target="consultantplus://offline/ref=8F384737A86E69DEC73BC7C6E29D4E8DE2A7128F9BA462E09E9FCAF8DC0C6DDC4E49A7108A0B4FDFE674174B9Ay8WCF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8F384737A86E69DEC73BC7C6E29D4E8DE2AA1E8F99A962E09E9FCAF8DC0C6DDC4E49A7108A0B4FDFE674174B9Ay8WCF" TargetMode="External"/><Relationship Id="rId19" Type="http://schemas.openxmlformats.org/officeDocument/2006/relationships/hyperlink" Target="consultantplus://offline/ref=8F384737A86E69DEC73BC7C6E29D4E8DE2AA1F889BA862E09E9FCAF8DC0C6DDC4E49A7108A0B4FDFE674174B9Ay8WC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384737A86E69DEC73BC7C6E29D4E8DE2A81F869FA362E09E9FCAF8DC0C6DDC4E49A7108A0B4FDFE674174B9Ay8WCF" TargetMode="External"/><Relationship Id="rId14" Type="http://schemas.openxmlformats.org/officeDocument/2006/relationships/hyperlink" Target="consultantplus://offline/ref=8F384737A86E69DEC73BC7C6E29D4E8DE3AD168B9AA962E09E9FCAF8DC0C6DDC4E49A7108A0B4FDFE674174B9Ay8WCF" TargetMode="External"/><Relationship Id="rId22" Type="http://schemas.openxmlformats.org/officeDocument/2006/relationships/hyperlink" Target="consultantplus://offline/ref=8F384737A86E69DEC73BC7C6E29D4E8DE2A8178C9BA362E09E9FCAF8DC0C6DDC4E49A7108A0B4FDFE674174B9Ay8WC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4767</Words>
  <Characters>27172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КолосовАА</dc:creator>
  <cp:lastModifiedBy>Марина</cp:lastModifiedBy>
  <cp:revision>2</cp:revision>
  <dcterms:created xsi:type="dcterms:W3CDTF">2021-06-18T10:17:00Z</dcterms:created>
  <dcterms:modified xsi:type="dcterms:W3CDTF">2021-06-18T10:17:00Z</dcterms:modified>
</cp:coreProperties>
</file>