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CAF" w:rsidRDefault="00AE0AE3">
      <w:pPr>
        <w:jc w:val="center"/>
        <w:rPr>
          <w:rFonts w:ascii="Times New Roman" w:hAnsi="Times New Roman" w:cs="Times New Roman"/>
          <w:sz w:val="24"/>
          <w:szCs w:val="24"/>
        </w:rPr>
      </w:pPr>
      <w:r>
        <w:rPr>
          <w:rFonts w:ascii="Times New Roman" w:hAnsi="Times New Roman" w:cs="Times New Roman"/>
          <w:b/>
          <w:sz w:val="24"/>
          <w:szCs w:val="24"/>
        </w:rPr>
        <w:t xml:space="preserve">                         Денис </w:t>
      </w:r>
      <w:proofErr w:type="spellStart"/>
      <w:r>
        <w:rPr>
          <w:rFonts w:ascii="Times New Roman" w:hAnsi="Times New Roman" w:cs="Times New Roman"/>
          <w:b/>
          <w:sz w:val="24"/>
          <w:szCs w:val="24"/>
        </w:rPr>
        <w:t>Лансков</w:t>
      </w:r>
      <w:proofErr w:type="spellEnd"/>
      <w:r>
        <w:rPr>
          <w:rFonts w:ascii="Times New Roman" w:hAnsi="Times New Roman" w:cs="Times New Roman"/>
          <w:b/>
          <w:sz w:val="24"/>
          <w:szCs w:val="24"/>
        </w:rPr>
        <w:t xml:space="preserve">, </w:t>
      </w:r>
      <w:r>
        <w:rPr>
          <w:rFonts w:ascii="Times New Roman" w:hAnsi="Times New Roman" w:cs="Times New Roman"/>
          <w:sz w:val="24"/>
          <w:szCs w:val="24"/>
        </w:rPr>
        <w:t>начальник отдела АО «Драга», к.э.н.</w:t>
      </w:r>
    </w:p>
    <w:p w:rsidR="00575CAF" w:rsidRDefault="00575CAF">
      <w:pPr>
        <w:jc w:val="center"/>
        <w:rPr>
          <w:rFonts w:ascii="Times New Roman" w:hAnsi="Times New Roman" w:cs="Times New Roman"/>
          <w:b/>
          <w:sz w:val="24"/>
          <w:szCs w:val="24"/>
        </w:rPr>
      </w:pPr>
    </w:p>
    <w:p w:rsidR="00575CAF" w:rsidRDefault="00AE0AE3">
      <w:pPr>
        <w:jc w:val="center"/>
        <w:rPr>
          <w:rFonts w:ascii="Times New Roman" w:hAnsi="Times New Roman" w:cs="Times New Roman"/>
          <w:b/>
          <w:sz w:val="24"/>
          <w:szCs w:val="24"/>
        </w:rPr>
      </w:pPr>
      <w:r>
        <w:rPr>
          <w:rFonts w:ascii="Times New Roman" w:hAnsi="Times New Roman" w:cs="Times New Roman"/>
          <w:b/>
          <w:sz w:val="24"/>
          <w:szCs w:val="24"/>
        </w:rPr>
        <w:t>Методологические подходы к формированию рейтинга надежности регистраторов</w:t>
      </w:r>
    </w:p>
    <w:p w:rsidR="00575CAF" w:rsidRDefault="00AE0AE3">
      <w:pPr>
        <w:ind w:firstLine="540"/>
        <w:jc w:val="both"/>
        <w:rPr>
          <w:rFonts w:ascii="Times New Roman" w:eastAsia="Times New Roman" w:hAnsi="Times New Roman" w:cs="Times New Roman"/>
          <w:sz w:val="24"/>
          <w:szCs w:val="24"/>
        </w:rPr>
      </w:pPr>
      <w:r>
        <w:tab/>
      </w:r>
      <w:proofErr w:type="gramStart"/>
      <w:r>
        <w:rPr>
          <w:rFonts w:ascii="Times New Roman" w:hAnsi="Times New Roman" w:cs="Times New Roman"/>
          <w:sz w:val="24"/>
          <w:szCs w:val="24"/>
        </w:rPr>
        <w:t xml:space="preserve">Деятельностью по ведению реестра владельцев ценных бумаг признается </w:t>
      </w:r>
      <w:r>
        <w:rPr>
          <w:rFonts w:ascii="Times New Roman" w:eastAsia="Times New Roman" w:hAnsi="Times New Roman" w:cs="Times New Roman"/>
          <w:sz w:val="24"/>
          <w:szCs w:val="24"/>
        </w:rPr>
        <w:t>сбор, фиксация, обработка, хранение данных, составляющих реестр владельцев ценных бумаг, и предоставление информации из реестра владельцев ценных бумаг</w:t>
      </w:r>
      <w:r>
        <w:rPr>
          <w:rStyle w:val="a4"/>
          <w:rFonts w:ascii="Times New Roman" w:eastAsia="Times New Roman" w:hAnsi="Times New Roman" w:cs="Times New Roman"/>
          <w:sz w:val="20"/>
          <w:szCs w:val="20"/>
        </w:rPr>
        <w:footnoteReference w:id="1"/>
      </w:r>
      <w:r>
        <w:rPr>
          <w:rFonts w:ascii="Times New Roman" w:eastAsia="Times New Roman" w:hAnsi="Times New Roman" w:cs="Times New Roman"/>
          <w:sz w:val="24"/>
          <w:szCs w:val="24"/>
        </w:rPr>
        <w:t xml:space="preserve">. С 1 января 2021 года  к этим функциям  будут добавлены </w:t>
      </w:r>
      <w:r>
        <w:rPr>
          <w:rFonts w:ascii="Times New Roman" w:hAnsi="Times New Roman" w:cs="Times New Roman"/>
          <w:sz w:val="24"/>
          <w:szCs w:val="24"/>
        </w:rPr>
        <w:t>сбор, фиксация, обработка, хранение данных, составляющих реестр акций непубличного акционерного общества в виде цифровых финансовых активов</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Перечисленные функции означают, что лица их осуществляющие, являются неотъемлемой частью корпоративных процедур, осуществляемых акционерными обществами (далее – эмитенты), в том числе предоставляя последним информацию о составе акционеров. </w:t>
      </w:r>
    </w:p>
    <w:p w:rsidR="00575CAF" w:rsidRDefault="00AE0AE3">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настоящее время в РФ 31 юридическое лицо имеет лицензию на осуществление деятельности по ведению реестра владельцев ценных бумаг (далее – реестр)</w:t>
      </w:r>
      <w:r>
        <w:rPr>
          <w:rStyle w:val="a4"/>
          <w:rFonts w:ascii="Times New Roman" w:eastAsia="Times New Roman" w:hAnsi="Times New Roman" w:cs="Times New Roman"/>
          <w:sz w:val="20"/>
          <w:szCs w:val="20"/>
        </w:rPr>
        <w:footnoteReference w:id="2"/>
      </w:r>
      <w:r>
        <w:rPr>
          <w:rFonts w:ascii="Times New Roman" w:eastAsia="Times New Roman" w:hAnsi="Times New Roman" w:cs="Times New Roman"/>
          <w:sz w:val="24"/>
          <w:szCs w:val="24"/>
        </w:rPr>
        <w:t xml:space="preserve">. Все они отвечают лицензионным требованиям Банка России и осуществляют свою деятельность в соответствии законодательством РФ, указаниями и положениями Банка России. Означает ли это, что эмитентам следует при выборе регистратора руководствоваться исключительно уровнем цены на услуги? Такой подход возможен, но его сложно назвать в достаточной мере обоснованным. </w:t>
      </w:r>
    </w:p>
    <w:p w:rsidR="00575CAF" w:rsidRDefault="00AE0AE3">
      <w:pPr>
        <w:ind w:firstLine="540"/>
        <w:jc w:val="both"/>
        <w:rPr>
          <w:rFonts w:ascii="Times New Roman" w:eastAsia="Times New Roman" w:hAnsi="Times New Roman" w:cs="Times New Roman"/>
          <w:sz w:val="24"/>
          <w:szCs w:val="24"/>
        </w:rPr>
      </w:pPr>
      <w:proofErr w:type="gramStart"/>
      <w:r>
        <w:rPr>
          <w:rFonts w:ascii="PT Sans" w:hAnsi="PT Sans"/>
          <w:color w:val="000000"/>
          <w:sz w:val="24"/>
          <w:szCs w:val="24"/>
          <w:shd w:val="clear" w:color="auto" w:fill="FFFFFF"/>
        </w:rPr>
        <w:t>Права владельцев на эмиссионные ценные бумаги удостоверяются записями на лицевых счетах в реестре, ведение которого осуществляется регистратором</w:t>
      </w:r>
      <w:r>
        <w:rPr>
          <w:rStyle w:val="a4"/>
          <w:rFonts w:ascii="Times New Roman" w:hAnsi="Times New Roman" w:cs="Times New Roman"/>
          <w:color w:val="000000"/>
          <w:sz w:val="20"/>
          <w:szCs w:val="20"/>
          <w:shd w:val="clear" w:color="auto" w:fill="FFFFFF"/>
        </w:rPr>
        <w:footnoteReference w:id="3"/>
      </w:r>
      <w:r>
        <w:rPr>
          <w:rFonts w:ascii="PT Sans" w:hAnsi="PT Sans"/>
          <w:color w:val="000000"/>
          <w:sz w:val="24"/>
          <w:szCs w:val="24"/>
          <w:shd w:val="clear" w:color="auto" w:fill="FFFFFF"/>
        </w:rPr>
        <w:t>. Таким образом, единственным лицом, имеющим возможность подтвердить право акционера, учитывающего права на акции в реестре (и единственным лицом, имеющим возможность предоставить информацию о таких акционерах</w:t>
      </w:r>
      <w:proofErr w:type="gramEnd"/>
      <w:r>
        <w:rPr>
          <w:rFonts w:ascii="PT Sans" w:hAnsi="PT Sans"/>
          <w:color w:val="000000"/>
          <w:sz w:val="24"/>
          <w:szCs w:val="24"/>
          <w:shd w:val="clear" w:color="auto" w:fill="FFFFFF"/>
        </w:rPr>
        <w:t xml:space="preserve"> эмитенту), является регистратор. Нередко п</w:t>
      </w:r>
      <w:r>
        <w:rPr>
          <w:rFonts w:ascii="Times New Roman" w:eastAsia="Times New Roman" w:hAnsi="Times New Roman" w:cs="Times New Roman"/>
          <w:sz w:val="24"/>
          <w:szCs w:val="24"/>
        </w:rPr>
        <w:t xml:space="preserve">акеты акций  учитываются не в реестре, а на счетах номинальных держателей или на счете номинального держателя центрального депозитария. </w:t>
      </w:r>
      <w:proofErr w:type="gramStart"/>
      <w:r>
        <w:rPr>
          <w:rFonts w:ascii="Times New Roman" w:eastAsia="Times New Roman" w:hAnsi="Times New Roman" w:cs="Times New Roman"/>
          <w:sz w:val="24"/>
          <w:szCs w:val="24"/>
        </w:rPr>
        <w:t>Однако для таких эмитентов важность регистратора как лица, которое фактически аккумулирует информацию о лицах, осуществляющих права (при составлении списка лиц, осуществляющих права по ценным бумагам) или информацию о владельцах (при составлении списка владельцев) дополнительно возрастает т.к. регистратор в данном случае выступает единственным возможным посредником между эмитентом и номинальным держателем.. Таким образом, можно говорить о том, что регистраторы являются верхним</w:t>
      </w:r>
      <w:proofErr w:type="gramEnd"/>
      <w:r>
        <w:rPr>
          <w:rFonts w:ascii="Times New Roman" w:eastAsia="Times New Roman" w:hAnsi="Times New Roman" w:cs="Times New Roman"/>
          <w:sz w:val="24"/>
          <w:szCs w:val="24"/>
        </w:rPr>
        <w:t xml:space="preserve"> звеном в системе учета прав на акции.</w:t>
      </w:r>
    </w:p>
    <w:p w:rsidR="00575CAF" w:rsidRDefault="00AE0AE3">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Соответственно, учитывая критическую важность информации в реестре (и информации о владельцах акций, учитывающих права у номинального держателя), полагаем, что регистратор должен не только соответствовать лицензионным требованиям Банка России, что является необходимым и достаточным условием для ведения деятельности, но и отвечать дополнительным критериям надежности. Указанные критерии не закреплены в законодательстве, но могут быть определены посредством логического анализа особенностей деятельности регистраторов. Надежность регистратора необходима для привлечения и удержания наиболее платежеспособных и требовательных клиентов. </w:t>
      </w:r>
    </w:p>
    <w:p w:rsidR="00575CAF" w:rsidRDefault="00AE0AE3">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Попробуем определить содержание понятия  надежности регистратора. Для целей настоящей статьи таковой признается способность регистратора осуществлять деятельность по ведению реестра владельцев ценных бумаг при реализации внешних и внутренних рисков (финансовых, регуляторных, технологических и т.д.) с сохранением высокого качества оказываемых (эмитентам и зарегистрированным лицам) услуг, а также способность оперативно адаптировать процессы к изменяющимся условиям.</w:t>
      </w:r>
    </w:p>
    <w:p w:rsidR="00575CAF" w:rsidRDefault="00AE0AE3">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Предлагаемый рейтинг надежности является </w:t>
      </w:r>
      <w:proofErr w:type="spellStart"/>
      <w:r>
        <w:rPr>
          <w:rFonts w:ascii="Times New Roman" w:eastAsia="Times New Roman" w:hAnsi="Times New Roman" w:cs="Times New Roman"/>
          <w:sz w:val="24"/>
          <w:szCs w:val="24"/>
        </w:rPr>
        <w:t>некредитным</w:t>
      </w:r>
      <w:proofErr w:type="spellEnd"/>
      <w:r>
        <w:rPr>
          <w:rFonts w:ascii="Times New Roman" w:eastAsia="Times New Roman" w:hAnsi="Times New Roman" w:cs="Times New Roman"/>
          <w:sz w:val="24"/>
          <w:szCs w:val="24"/>
        </w:rPr>
        <w:t xml:space="preserve"> экспертным рейтингом, опирающимся на качественные критерии. Аналогично экспертным рейтингам ведущих мировых рейтинговых агентств</w:t>
      </w:r>
      <w:r>
        <w:rPr>
          <w:rStyle w:val="a4"/>
          <w:rFonts w:ascii="Times New Roman" w:eastAsia="Times New Roman" w:hAnsi="Times New Roman" w:cs="Times New Roman"/>
          <w:sz w:val="20"/>
          <w:szCs w:val="20"/>
        </w:rPr>
        <w:footnoteReference w:id="4"/>
      </w:r>
      <w:r>
        <w:rPr>
          <w:rFonts w:ascii="Times New Roman" w:eastAsia="Times New Roman" w:hAnsi="Times New Roman" w:cs="Times New Roman"/>
          <w:sz w:val="20"/>
          <w:szCs w:val="20"/>
          <w:vertAlign w:val="superscript"/>
        </w:rPr>
        <w:t>,</w:t>
      </w:r>
      <w:r>
        <w:rPr>
          <w:rStyle w:val="a4"/>
          <w:rFonts w:ascii="Times New Roman" w:eastAsia="Times New Roman" w:hAnsi="Times New Roman" w:cs="Times New Roman"/>
          <w:sz w:val="20"/>
          <w:szCs w:val="20"/>
        </w:rPr>
        <w:footnoteReference w:id="5"/>
      </w:r>
      <w:r>
        <w:rPr>
          <w:rFonts w:ascii="Times New Roman" w:eastAsia="Times New Roman" w:hAnsi="Times New Roman" w:cs="Times New Roman"/>
          <w:sz w:val="24"/>
          <w:szCs w:val="24"/>
        </w:rPr>
        <w:t>, корректный расчет позиции регистратора в рейтинге обеспечивается квалифицированным заключением экспертов, осуществляющих анализ. В отличи</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от кредитных рейтингов при расчете рейтинга надежности нет необходимости применять сложные математические модели.</w:t>
      </w:r>
    </w:p>
    <w:p w:rsidR="00575CAF" w:rsidRDefault="00AE0AE3">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формировании методологии составления </w:t>
      </w:r>
      <w:proofErr w:type="spellStart"/>
      <w:r>
        <w:rPr>
          <w:rFonts w:ascii="Times New Roman" w:eastAsia="Times New Roman" w:hAnsi="Times New Roman" w:cs="Times New Roman"/>
          <w:sz w:val="24"/>
          <w:szCs w:val="24"/>
        </w:rPr>
        <w:t>некредитного</w:t>
      </w:r>
      <w:proofErr w:type="spellEnd"/>
      <w:r>
        <w:rPr>
          <w:rFonts w:ascii="Times New Roman" w:eastAsia="Times New Roman" w:hAnsi="Times New Roman" w:cs="Times New Roman"/>
          <w:sz w:val="24"/>
          <w:szCs w:val="24"/>
        </w:rPr>
        <w:t xml:space="preserve"> экспертного рейтинга основными вопросами являются определение перечня анализируемых критериев и определение веса каждого критерия в общей оценке. В мировой и российской практике</w:t>
      </w:r>
      <w:r>
        <w:rPr>
          <w:rStyle w:val="a4"/>
          <w:rFonts w:ascii="Times New Roman" w:eastAsia="Times New Roman" w:hAnsi="Times New Roman" w:cs="Times New Roman"/>
          <w:sz w:val="20"/>
          <w:szCs w:val="20"/>
        </w:rPr>
        <w:footnoteReference w:id="6"/>
      </w:r>
      <w:r>
        <w:rPr>
          <w:rFonts w:ascii="Times New Roman" w:eastAsia="Times New Roman" w:hAnsi="Times New Roman" w:cs="Times New Roman"/>
          <w:sz w:val="20"/>
          <w:szCs w:val="20"/>
          <w:vertAlign w:val="superscript"/>
        </w:rPr>
        <w:t>,</w:t>
      </w:r>
      <w:r>
        <w:rPr>
          <w:rStyle w:val="a4"/>
          <w:rFonts w:ascii="Times New Roman" w:eastAsia="Times New Roman" w:hAnsi="Times New Roman" w:cs="Times New Roman"/>
          <w:sz w:val="20"/>
          <w:szCs w:val="20"/>
        </w:rPr>
        <w:footnoteReference w:id="7"/>
      </w:r>
      <w:r>
        <w:rPr>
          <w:rFonts w:ascii="Times New Roman" w:eastAsia="Times New Roman" w:hAnsi="Times New Roman" w:cs="Times New Roman"/>
          <w:sz w:val="24"/>
          <w:szCs w:val="24"/>
        </w:rPr>
        <w:t xml:space="preserve"> при формировании методологии расчета аналогичного рейтинга для решения указанных выше вопросов применяется экспертный метод. Перечень анализируемых критериев и присвоенные им веса являются ядром рейтинга. В таком случае нет необходимости дополнительно выравнивать, дисконтировать или иным образом уточнять оценку т.к., по сути, все перечисленные действия осуществляются экспертами при выставлении балльной оценки (в случае с упомянутыми российскими рейтингами), либо при определении качественной оценки для каждого из критериев (например, очень хорошо, хорошо, приемлемо или ААА, АА, А). </w:t>
      </w:r>
    </w:p>
    <w:p w:rsidR="00575CAF" w:rsidRDefault="00AE0AE3">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аналогии с указанной выше методологией ведущих мировых рейтинговых агентств составлена примерная матрица надежности регистраторов. В данном случае следует отметить, что формирование рейтинга исключительно для компаний, осуществляющих конкретную деятельность на рынке ценных бумаг, позволяет избежать дополнительных усложнений методологии. Используются специфические критерии надежности, которые являются актуальными в полной мере только для регистраторов (частично могут использоваться и при анализе деятельности профессионального участника рынка ценных бумаг). </w:t>
      </w:r>
    </w:p>
    <w:p w:rsidR="00575CAF" w:rsidRDefault="00AE0AE3">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расчете рейтинга надежности регистраторов предполагается осуществлять экспертную балльную оценку 11 критериев надежности, перечисленных ниже в Матрице надежности регистраторов.</w:t>
      </w:r>
    </w:p>
    <w:p w:rsidR="006A2FC2" w:rsidRPr="006A2FC2" w:rsidRDefault="006A2FC2">
      <w:pPr>
        <w:jc w:val="both"/>
        <w:rPr>
          <w:rFonts w:ascii="Times New Roman" w:eastAsia="Times New Roman" w:hAnsi="Times New Roman" w:cs="Times New Roman"/>
          <w:b/>
          <w:sz w:val="24"/>
          <w:szCs w:val="24"/>
        </w:rPr>
      </w:pPr>
    </w:p>
    <w:p w:rsidR="006A2FC2" w:rsidRDefault="006A2FC2">
      <w:pPr>
        <w:jc w:val="both"/>
        <w:rPr>
          <w:rFonts w:ascii="Times New Roman" w:eastAsia="Times New Roman" w:hAnsi="Times New Roman" w:cs="Times New Roman"/>
          <w:b/>
          <w:sz w:val="24"/>
          <w:szCs w:val="24"/>
          <w:lang w:val="en-US"/>
        </w:rPr>
      </w:pPr>
    </w:p>
    <w:p w:rsidR="00575CAF" w:rsidRDefault="006A2FC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AE0AE3">
        <w:rPr>
          <w:rFonts w:ascii="Times New Roman" w:eastAsia="Times New Roman" w:hAnsi="Times New Roman" w:cs="Times New Roman"/>
          <w:b/>
          <w:sz w:val="24"/>
          <w:szCs w:val="24"/>
        </w:rPr>
        <w:t xml:space="preserve">Матрица </w:t>
      </w:r>
      <w:r>
        <w:rPr>
          <w:rFonts w:ascii="Times New Roman" w:eastAsia="Times New Roman" w:hAnsi="Times New Roman" w:cs="Times New Roman"/>
          <w:b/>
          <w:sz w:val="24"/>
          <w:szCs w:val="24"/>
        </w:rPr>
        <w:t xml:space="preserve">для расчета рейтинга надежности </w:t>
      </w:r>
      <w:r w:rsidR="00AE0AE3">
        <w:rPr>
          <w:rFonts w:ascii="Times New Roman" w:eastAsia="Times New Roman" w:hAnsi="Times New Roman" w:cs="Times New Roman"/>
          <w:b/>
          <w:sz w:val="24"/>
          <w:szCs w:val="24"/>
        </w:rPr>
        <w:t xml:space="preserve"> регистраторов</w:t>
      </w:r>
    </w:p>
    <w:tbl>
      <w:tblPr>
        <w:tblW w:w="10780" w:type="dxa"/>
        <w:tblInd w:w="101" w:type="dxa"/>
        <w:tblLook w:val="04A0" w:firstRow="1" w:lastRow="0" w:firstColumn="1" w:lastColumn="0" w:noHBand="0" w:noVBand="1"/>
      </w:tblPr>
      <w:tblGrid>
        <w:gridCol w:w="419"/>
        <w:gridCol w:w="2046"/>
        <w:gridCol w:w="2015"/>
        <w:gridCol w:w="2593"/>
        <w:gridCol w:w="3020"/>
        <w:gridCol w:w="1031"/>
      </w:tblGrid>
      <w:tr w:rsidR="00575CAF">
        <w:trPr>
          <w:trHeight w:val="810"/>
        </w:trPr>
        <w:tc>
          <w:tcPr>
            <w:tcW w:w="213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575CAF" w:rsidRDefault="00AE0AE3">
            <w:pPr>
              <w:spacing w:after="0" w:line="240" w:lineRule="auto"/>
              <w:jc w:val="right"/>
              <w:rPr>
                <w:rFonts w:ascii="Calibri" w:eastAsia="Times New Roman" w:hAnsi="Calibri" w:cs="Times New Roman"/>
                <w:b/>
                <w:color w:val="000000"/>
                <w:sz w:val="20"/>
                <w:szCs w:val="20"/>
              </w:rPr>
            </w:pPr>
            <w:r>
              <w:rPr>
                <w:rFonts w:eastAsia="Times New Roman" w:cs="Times New Roman"/>
                <w:b/>
                <w:color w:val="000000"/>
                <w:sz w:val="20"/>
                <w:szCs w:val="20"/>
              </w:rPr>
              <w:lastRenderedPageBreak/>
              <w:t>Критерий</w:t>
            </w:r>
          </w:p>
        </w:tc>
        <w:tc>
          <w:tcPr>
            <w:tcW w:w="1986" w:type="dxa"/>
            <w:tcBorders>
              <w:top w:val="single" w:sz="4" w:space="0" w:color="000000"/>
              <w:bottom w:val="single" w:sz="4" w:space="0" w:color="000000"/>
              <w:right w:val="single" w:sz="4" w:space="0" w:color="000000"/>
            </w:tcBorders>
            <w:shd w:val="clear" w:color="auto" w:fill="auto"/>
            <w:vAlign w:val="bottom"/>
          </w:tcPr>
          <w:p w:rsidR="00575CAF" w:rsidRDefault="00AE0AE3">
            <w:pPr>
              <w:spacing w:after="0" w:line="240" w:lineRule="auto"/>
              <w:rPr>
                <w:rFonts w:ascii="Calibri" w:eastAsia="Times New Roman" w:hAnsi="Calibri" w:cs="Times New Roman"/>
                <w:b/>
                <w:bCs/>
                <w:color w:val="000000"/>
                <w:sz w:val="20"/>
                <w:szCs w:val="20"/>
              </w:rPr>
            </w:pPr>
            <w:r>
              <w:rPr>
                <w:rFonts w:eastAsia="Times New Roman" w:cs="Times New Roman"/>
                <w:b/>
                <w:bCs/>
                <w:color w:val="000000"/>
                <w:sz w:val="20"/>
                <w:szCs w:val="20"/>
              </w:rPr>
              <w:t>Нуждается в улучшении</w:t>
            </w:r>
            <w:r>
              <w:rPr>
                <w:rFonts w:eastAsia="Times New Roman" w:cs="Times New Roman"/>
                <w:b/>
                <w:bCs/>
                <w:color w:val="000000"/>
                <w:sz w:val="20"/>
                <w:szCs w:val="20"/>
              </w:rPr>
              <w:br/>
              <w:t>(экспертная балльная оценка)</w:t>
            </w:r>
          </w:p>
        </w:tc>
        <w:tc>
          <w:tcPr>
            <w:tcW w:w="1983" w:type="dxa"/>
            <w:tcBorders>
              <w:top w:val="single" w:sz="4" w:space="0" w:color="000000"/>
              <w:bottom w:val="single" w:sz="4" w:space="0" w:color="000000"/>
              <w:right w:val="single" w:sz="4" w:space="0" w:color="000000"/>
            </w:tcBorders>
            <w:shd w:val="clear" w:color="auto" w:fill="auto"/>
            <w:vAlign w:val="bottom"/>
          </w:tcPr>
          <w:p w:rsidR="00575CAF" w:rsidRDefault="00AE0AE3">
            <w:pPr>
              <w:spacing w:after="0" w:line="240" w:lineRule="auto"/>
              <w:ind w:right="34"/>
              <w:jc w:val="both"/>
              <w:rPr>
                <w:rFonts w:ascii="Calibri" w:eastAsia="Times New Roman" w:hAnsi="Calibri" w:cs="Times New Roman"/>
                <w:b/>
                <w:bCs/>
                <w:color w:val="000000"/>
                <w:sz w:val="20"/>
                <w:szCs w:val="20"/>
              </w:rPr>
            </w:pPr>
            <w:r>
              <w:rPr>
                <w:rFonts w:eastAsia="Times New Roman" w:cs="Times New Roman"/>
                <w:b/>
                <w:bCs/>
                <w:color w:val="000000"/>
                <w:sz w:val="20"/>
                <w:szCs w:val="20"/>
              </w:rPr>
              <w:t>Допустимо</w:t>
            </w:r>
          </w:p>
          <w:p w:rsidR="00575CAF" w:rsidRDefault="00AE0AE3">
            <w:pPr>
              <w:spacing w:after="0" w:line="240" w:lineRule="auto"/>
              <w:ind w:right="34"/>
              <w:jc w:val="both"/>
              <w:rPr>
                <w:rFonts w:ascii="Calibri" w:eastAsia="Times New Roman" w:hAnsi="Calibri" w:cs="Times New Roman"/>
                <w:b/>
                <w:bCs/>
                <w:color w:val="000000"/>
                <w:sz w:val="20"/>
                <w:szCs w:val="20"/>
              </w:rPr>
            </w:pPr>
            <w:r>
              <w:rPr>
                <w:rFonts w:eastAsia="Times New Roman" w:cs="Times New Roman"/>
                <w:b/>
                <w:bCs/>
                <w:color w:val="000000"/>
                <w:sz w:val="20"/>
                <w:szCs w:val="20"/>
              </w:rPr>
              <w:t>(экспертная балльная оценка)</w:t>
            </w:r>
          </w:p>
        </w:tc>
        <w:tc>
          <w:tcPr>
            <w:tcW w:w="3828" w:type="dxa"/>
            <w:tcBorders>
              <w:top w:val="single" w:sz="4" w:space="0" w:color="000000"/>
              <w:bottom w:val="single" w:sz="4" w:space="0" w:color="000000"/>
              <w:right w:val="single" w:sz="4" w:space="0" w:color="000000"/>
            </w:tcBorders>
            <w:shd w:val="clear" w:color="auto" w:fill="auto"/>
            <w:vAlign w:val="bottom"/>
          </w:tcPr>
          <w:p w:rsidR="00575CAF" w:rsidRDefault="00AE0AE3">
            <w:pPr>
              <w:spacing w:after="0" w:line="240" w:lineRule="auto"/>
              <w:rPr>
                <w:rFonts w:ascii="Calibri" w:eastAsia="Times New Roman" w:hAnsi="Calibri" w:cs="Times New Roman"/>
                <w:b/>
                <w:bCs/>
                <w:color w:val="000000"/>
                <w:sz w:val="20"/>
                <w:szCs w:val="20"/>
              </w:rPr>
            </w:pPr>
            <w:r>
              <w:rPr>
                <w:rFonts w:eastAsia="Times New Roman" w:cs="Times New Roman"/>
                <w:b/>
                <w:bCs/>
                <w:color w:val="000000"/>
                <w:sz w:val="20"/>
                <w:szCs w:val="20"/>
              </w:rPr>
              <w:t>Соответствует потребностям</w:t>
            </w:r>
            <w:r>
              <w:rPr>
                <w:rFonts w:eastAsia="Times New Roman" w:cs="Times New Roman"/>
                <w:b/>
                <w:bCs/>
                <w:color w:val="000000"/>
                <w:sz w:val="20"/>
                <w:szCs w:val="20"/>
              </w:rPr>
              <w:br/>
              <w:t>(экспертная балльная оценка)</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575CAF" w:rsidRDefault="00AE0AE3">
            <w:pPr>
              <w:spacing w:after="0" w:line="240" w:lineRule="auto"/>
              <w:rPr>
                <w:rFonts w:ascii="Calibri" w:eastAsia="Times New Roman" w:hAnsi="Calibri" w:cs="Times New Roman"/>
                <w:b/>
                <w:color w:val="000000"/>
                <w:sz w:val="20"/>
                <w:szCs w:val="20"/>
              </w:rPr>
            </w:pPr>
            <w:r>
              <w:rPr>
                <w:rFonts w:eastAsia="Times New Roman" w:cs="Times New Roman"/>
                <w:b/>
                <w:color w:val="000000"/>
                <w:sz w:val="20"/>
                <w:szCs w:val="20"/>
              </w:rPr>
              <w:t>Вес</w:t>
            </w:r>
            <w:r>
              <w:rPr>
                <w:rFonts w:eastAsia="Times New Roman" w:cs="Times New Roman"/>
                <w:b/>
                <w:color w:val="000000"/>
                <w:sz w:val="20"/>
                <w:szCs w:val="20"/>
              </w:rPr>
              <w:br/>
              <w:t>критерия</w:t>
            </w:r>
          </w:p>
        </w:tc>
      </w:tr>
      <w:tr w:rsidR="00575CAF">
        <w:trPr>
          <w:trHeight w:val="300"/>
        </w:trPr>
        <w:tc>
          <w:tcPr>
            <w:tcW w:w="2133" w:type="dxa"/>
            <w:gridSpan w:val="2"/>
            <w:vMerge/>
            <w:tcBorders>
              <w:top w:val="single" w:sz="4" w:space="0" w:color="000000"/>
              <w:left w:val="single" w:sz="4" w:space="0" w:color="000000"/>
              <w:bottom w:val="single" w:sz="4" w:space="0" w:color="000000"/>
              <w:right w:val="single" w:sz="4" w:space="0" w:color="000000"/>
            </w:tcBorders>
            <w:vAlign w:val="center"/>
          </w:tcPr>
          <w:p w:rsidR="00575CAF" w:rsidRDefault="00575CAF">
            <w:pPr>
              <w:spacing w:after="0" w:line="240" w:lineRule="auto"/>
              <w:rPr>
                <w:rFonts w:ascii="Calibri" w:eastAsia="Times New Roman" w:hAnsi="Calibri" w:cs="Times New Roman"/>
                <w:color w:val="000000"/>
                <w:sz w:val="20"/>
                <w:szCs w:val="20"/>
              </w:rPr>
            </w:pPr>
          </w:p>
        </w:tc>
        <w:tc>
          <w:tcPr>
            <w:tcW w:w="1986" w:type="dxa"/>
            <w:tcBorders>
              <w:bottom w:val="single" w:sz="4" w:space="0" w:color="000000"/>
              <w:right w:val="single" w:sz="4" w:space="0" w:color="000000"/>
            </w:tcBorders>
            <w:shd w:val="clear" w:color="auto" w:fill="auto"/>
            <w:vAlign w:val="bottom"/>
          </w:tcPr>
          <w:p w:rsidR="00575CAF" w:rsidRDefault="00AE0AE3">
            <w:pPr>
              <w:spacing w:after="0" w:line="240" w:lineRule="auto"/>
              <w:rPr>
                <w:rFonts w:ascii="Calibri" w:eastAsia="Times New Roman" w:hAnsi="Calibri" w:cs="Times New Roman"/>
                <w:color w:val="000000"/>
                <w:sz w:val="20"/>
                <w:szCs w:val="20"/>
              </w:rPr>
            </w:pPr>
            <w:r>
              <w:rPr>
                <w:rFonts w:eastAsia="Times New Roman" w:cs="Times New Roman"/>
                <w:color w:val="000000"/>
                <w:sz w:val="20"/>
                <w:szCs w:val="20"/>
              </w:rPr>
              <w:t>от 0 до 30</w:t>
            </w:r>
          </w:p>
        </w:tc>
        <w:tc>
          <w:tcPr>
            <w:tcW w:w="1983" w:type="dxa"/>
            <w:tcBorders>
              <w:bottom w:val="single" w:sz="4" w:space="0" w:color="000000"/>
              <w:right w:val="single" w:sz="4" w:space="0" w:color="000000"/>
            </w:tcBorders>
            <w:shd w:val="clear" w:color="auto" w:fill="auto"/>
            <w:vAlign w:val="bottom"/>
          </w:tcPr>
          <w:p w:rsidR="00575CAF" w:rsidRDefault="00AE0AE3">
            <w:pPr>
              <w:spacing w:after="0" w:line="240" w:lineRule="auto"/>
              <w:rPr>
                <w:rFonts w:ascii="Calibri" w:eastAsia="Times New Roman" w:hAnsi="Calibri" w:cs="Times New Roman"/>
                <w:color w:val="000000"/>
                <w:sz w:val="20"/>
                <w:szCs w:val="20"/>
              </w:rPr>
            </w:pPr>
            <w:r>
              <w:rPr>
                <w:rFonts w:eastAsia="Times New Roman" w:cs="Times New Roman"/>
                <w:color w:val="000000"/>
                <w:sz w:val="20"/>
                <w:szCs w:val="20"/>
              </w:rPr>
              <w:t>от 30 до 70</w:t>
            </w:r>
          </w:p>
        </w:tc>
        <w:tc>
          <w:tcPr>
            <w:tcW w:w="3828" w:type="dxa"/>
            <w:tcBorders>
              <w:bottom w:val="single" w:sz="4" w:space="0" w:color="000000"/>
              <w:right w:val="single" w:sz="4" w:space="0" w:color="000000"/>
            </w:tcBorders>
            <w:shd w:val="clear" w:color="auto" w:fill="auto"/>
            <w:vAlign w:val="bottom"/>
          </w:tcPr>
          <w:p w:rsidR="00575CAF" w:rsidRDefault="00AE0AE3">
            <w:pPr>
              <w:spacing w:after="0" w:line="240" w:lineRule="auto"/>
              <w:rPr>
                <w:rFonts w:ascii="Calibri" w:eastAsia="Times New Roman" w:hAnsi="Calibri" w:cs="Times New Roman"/>
                <w:color w:val="000000"/>
                <w:sz w:val="20"/>
                <w:szCs w:val="20"/>
              </w:rPr>
            </w:pPr>
            <w:r>
              <w:rPr>
                <w:rFonts w:eastAsia="Times New Roman" w:cs="Times New Roman"/>
                <w:color w:val="000000"/>
                <w:sz w:val="20"/>
                <w:szCs w:val="20"/>
              </w:rPr>
              <w:t>от 70 до 100</w:t>
            </w:r>
          </w:p>
        </w:tc>
        <w:tc>
          <w:tcPr>
            <w:tcW w:w="849" w:type="dxa"/>
            <w:vMerge/>
            <w:tcBorders>
              <w:top w:val="single" w:sz="4" w:space="0" w:color="000000"/>
              <w:left w:val="single" w:sz="4" w:space="0" w:color="000000"/>
              <w:bottom w:val="single" w:sz="4" w:space="0" w:color="000000"/>
              <w:right w:val="single" w:sz="4" w:space="0" w:color="000000"/>
            </w:tcBorders>
            <w:vAlign w:val="center"/>
          </w:tcPr>
          <w:p w:rsidR="00575CAF" w:rsidRDefault="00575CAF">
            <w:pPr>
              <w:spacing w:after="0" w:line="240" w:lineRule="auto"/>
              <w:rPr>
                <w:rFonts w:ascii="Calibri" w:eastAsia="Times New Roman" w:hAnsi="Calibri" w:cs="Times New Roman"/>
                <w:color w:val="000000"/>
                <w:sz w:val="20"/>
                <w:szCs w:val="20"/>
              </w:rPr>
            </w:pPr>
          </w:p>
        </w:tc>
      </w:tr>
      <w:tr w:rsidR="00575CAF">
        <w:trPr>
          <w:trHeight w:val="2100"/>
        </w:trPr>
        <w:tc>
          <w:tcPr>
            <w:tcW w:w="439" w:type="dxa"/>
            <w:tcBorders>
              <w:left w:val="single" w:sz="4" w:space="0" w:color="000000"/>
              <w:bottom w:val="single" w:sz="4" w:space="0" w:color="000000"/>
              <w:right w:val="single" w:sz="4" w:space="0" w:color="000000"/>
            </w:tcBorders>
            <w:shd w:val="clear" w:color="auto" w:fill="auto"/>
            <w:vAlign w:val="bottom"/>
          </w:tcPr>
          <w:p w:rsidR="00575CAF" w:rsidRDefault="00AE0AE3">
            <w:pPr>
              <w:spacing w:after="0" w:line="240" w:lineRule="auto"/>
              <w:jc w:val="right"/>
              <w:rPr>
                <w:rFonts w:ascii="Calibri" w:eastAsia="Times New Roman" w:hAnsi="Calibri" w:cs="Times New Roman"/>
                <w:color w:val="000000"/>
                <w:sz w:val="20"/>
                <w:szCs w:val="20"/>
              </w:rPr>
            </w:pPr>
            <w:r>
              <w:rPr>
                <w:rFonts w:eastAsia="Times New Roman" w:cs="Times New Roman"/>
                <w:color w:val="000000"/>
                <w:sz w:val="20"/>
                <w:szCs w:val="20"/>
              </w:rPr>
              <w:t>1</w:t>
            </w:r>
          </w:p>
        </w:tc>
        <w:tc>
          <w:tcPr>
            <w:tcW w:w="1694"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Состав собственников регистратора</w:t>
            </w:r>
          </w:p>
        </w:tc>
        <w:tc>
          <w:tcPr>
            <w:tcW w:w="1986"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 xml:space="preserve">Собственниками регистратора являются не известные на рынке ценных бумаг физические и юридические лица. </w:t>
            </w:r>
          </w:p>
        </w:tc>
        <w:tc>
          <w:tcPr>
            <w:tcW w:w="1983"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Собственниками регистратора являются  известные на рынке ценных бумаг физические и юридические лица.</w:t>
            </w:r>
          </w:p>
        </w:tc>
        <w:tc>
          <w:tcPr>
            <w:tcW w:w="3828" w:type="dxa"/>
            <w:tcBorders>
              <w:bottom w:val="single" w:sz="4" w:space="0" w:color="000000"/>
              <w:right w:val="single" w:sz="4" w:space="0" w:color="000000"/>
            </w:tcBorders>
            <w:shd w:val="clear" w:color="auto" w:fill="auto"/>
            <w:vAlign w:val="bottom"/>
          </w:tcPr>
          <w:p w:rsidR="00575CAF" w:rsidRDefault="00AE0AE3">
            <w:pPr>
              <w:spacing w:after="0" w:line="240" w:lineRule="auto"/>
              <w:rPr>
                <w:rFonts w:ascii="Calibri" w:eastAsia="Times New Roman" w:hAnsi="Calibri" w:cs="Times New Roman"/>
                <w:color w:val="000000"/>
                <w:sz w:val="20"/>
                <w:szCs w:val="20"/>
              </w:rPr>
            </w:pPr>
            <w:r>
              <w:rPr>
                <w:rFonts w:eastAsia="Times New Roman" w:cs="Times New Roman"/>
                <w:color w:val="000000"/>
                <w:sz w:val="20"/>
                <w:szCs w:val="20"/>
              </w:rPr>
              <w:t xml:space="preserve">Собственниками регистратора являются  известные на рынке ценных бумаг физические и юридические лица, в том числе, </w:t>
            </w:r>
            <w:proofErr w:type="spellStart"/>
            <w:r>
              <w:rPr>
                <w:rFonts w:eastAsia="Times New Roman" w:cs="Times New Roman"/>
                <w:color w:val="000000"/>
                <w:sz w:val="20"/>
                <w:szCs w:val="20"/>
              </w:rPr>
              <w:t>аффиллированные</w:t>
            </w:r>
            <w:proofErr w:type="spellEnd"/>
            <w:r>
              <w:rPr>
                <w:rFonts w:eastAsia="Times New Roman" w:cs="Times New Roman"/>
                <w:color w:val="000000"/>
                <w:sz w:val="20"/>
                <w:szCs w:val="20"/>
              </w:rPr>
              <w:t xml:space="preserve"> с финансово-промышленными/финансовыми группами. </w:t>
            </w:r>
          </w:p>
        </w:tc>
        <w:tc>
          <w:tcPr>
            <w:tcW w:w="849" w:type="dxa"/>
            <w:tcBorders>
              <w:bottom w:val="single" w:sz="4" w:space="0" w:color="000000"/>
              <w:right w:val="single" w:sz="4" w:space="0" w:color="000000"/>
            </w:tcBorders>
            <w:shd w:val="clear" w:color="auto" w:fill="auto"/>
            <w:vAlign w:val="bottom"/>
          </w:tcPr>
          <w:p w:rsidR="00575CAF" w:rsidRDefault="00AE0AE3">
            <w:pPr>
              <w:spacing w:after="0" w:line="240" w:lineRule="auto"/>
              <w:jc w:val="right"/>
              <w:rPr>
                <w:rFonts w:ascii="Calibri" w:eastAsia="Times New Roman" w:hAnsi="Calibri" w:cs="Times New Roman"/>
                <w:color w:val="000000"/>
                <w:sz w:val="20"/>
                <w:szCs w:val="20"/>
              </w:rPr>
            </w:pPr>
            <w:r>
              <w:rPr>
                <w:rFonts w:eastAsia="Times New Roman" w:cs="Times New Roman"/>
                <w:color w:val="000000"/>
                <w:sz w:val="20"/>
                <w:szCs w:val="20"/>
              </w:rPr>
              <w:t>0,1</w:t>
            </w:r>
          </w:p>
        </w:tc>
      </w:tr>
      <w:tr w:rsidR="00575CAF">
        <w:trPr>
          <w:trHeight w:val="3175"/>
        </w:trPr>
        <w:tc>
          <w:tcPr>
            <w:tcW w:w="439" w:type="dxa"/>
            <w:tcBorders>
              <w:left w:val="single" w:sz="4" w:space="0" w:color="000000"/>
              <w:bottom w:val="single" w:sz="4" w:space="0" w:color="000000"/>
              <w:right w:val="single" w:sz="4" w:space="0" w:color="000000"/>
            </w:tcBorders>
            <w:shd w:val="clear" w:color="auto" w:fill="auto"/>
            <w:vAlign w:val="bottom"/>
          </w:tcPr>
          <w:p w:rsidR="00575CAF" w:rsidRDefault="00AE0AE3">
            <w:pPr>
              <w:spacing w:after="0" w:line="240" w:lineRule="auto"/>
              <w:jc w:val="right"/>
              <w:rPr>
                <w:rFonts w:ascii="Calibri" w:eastAsia="Times New Roman" w:hAnsi="Calibri" w:cs="Times New Roman"/>
                <w:color w:val="000000"/>
                <w:sz w:val="20"/>
                <w:szCs w:val="20"/>
              </w:rPr>
            </w:pPr>
            <w:r>
              <w:rPr>
                <w:rFonts w:eastAsia="Times New Roman" w:cs="Times New Roman"/>
                <w:color w:val="000000"/>
                <w:sz w:val="20"/>
                <w:szCs w:val="20"/>
              </w:rPr>
              <w:t>2</w:t>
            </w:r>
          </w:p>
        </w:tc>
        <w:tc>
          <w:tcPr>
            <w:tcW w:w="1694"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 xml:space="preserve">Наличие и качественный состав Совета директоров </w:t>
            </w:r>
          </w:p>
        </w:tc>
        <w:tc>
          <w:tcPr>
            <w:tcW w:w="1986"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 xml:space="preserve">Совет директоров не предусмотрен уставом регистратора или состоит из лиц, имеющих управленческий опыт/членство в Совете директоров менее 5 лет, не известных на рынке ценных бумаг. </w:t>
            </w:r>
          </w:p>
        </w:tc>
        <w:tc>
          <w:tcPr>
            <w:tcW w:w="1983"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 xml:space="preserve">Совет директоров </w:t>
            </w:r>
            <w:proofErr w:type="gramStart"/>
            <w:r>
              <w:rPr>
                <w:rFonts w:eastAsia="Times New Roman" w:cs="Times New Roman"/>
                <w:color w:val="000000"/>
                <w:sz w:val="20"/>
                <w:szCs w:val="20"/>
              </w:rPr>
              <w:t>предусмотрен уставом регистратора состоит</w:t>
            </w:r>
            <w:proofErr w:type="gramEnd"/>
            <w:r>
              <w:rPr>
                <w:rFonts w:eastAsia="Times New Roman" w:cs="Times New Roman"/>
                <w:color w:val="000000"/>
                <w:sz w:val="20"/>
                <w:szCs w:val="20"/>
              </w:rPr>
              <w:t xml:space="preserve"> из лиц, имеющих управленческий опыт/членство в Совете директоров более 5 лет, имеющих репутацию на рынке ценных бумаг. </w:t>
            </w:r>
          </w:p>
        </w:tc>
        <w:tc>
          <w:tcPr>
            <w:tcW w:w="3828" w:type="dxa"/>
            <w:tcBorders>
              <w:bottom w:val="single" w:sz="4" w:space="0" w:color="000000"/>
              <w:right w:val="single" w:sz="4" w:space="0" w:color="000000"/>
            </w:tcBorders>
            <w:shd w:val="clear" w:color="auto" w:fill="auto"/>
            <w:vAlign w:val="bottom"/>
          </w:tcPr>
          <w:p w:rsidR="00575CAF" w:rsidRDefault="00AE0AE3">
            <w:pPr>
              <w:spacing w:after="0" w:line="240" w:lineRule="auto"/>
              <w:ind w:left="34"/>
              <w:rPr>
                <w:rFonts w:ascii="Calibri" w:eastAsia="Times New Roman" w:hAnsi="Calibri" w:cs="Times New Roman"/>
                <w:color w:val="000000"/>
                <w:sz w:val="20"/>
                <w:szCs w:val="20"/>
              </w:rPr>
            </w:pPr>
            <w:r>
              <w:rPr>
                <w:rFonts w:eastAsia="Times New Roman" w:cs="Times New Roman"/>
                <w:color w:val="000000"/>
                <w:sz w:val="20"/>
                <w:szCs w:val="20"/>
              </w:rPr>
              <w:t>Совет директоров Совет директоров предусмотрен уставом регистратора и состоит из лиц, имеющих управленческий опыт/членство в Совете директоров более 5 лет, имеющих репутацию на рынке ценных бумаг и обладающих дополнительными компетенциями. Ряд членов Совета директоров являются руководителями/членами Советов директоров в обществах, имеющих положительную деловую репутацию.</w:t>
            </w:r>
          </w:p>
        </w:tc>
        <w:tc>
          <w:tcPr>
            <w:tcW w:w="849" w:type="dxa"/>
            <w:tcBorders>
              <w:bottom w:val="single" w:sz="4" w:space="0" w:color="000000"/>
              <w:right w:val="single" w:sz="4" w:space="0" w:color="000000"/>
            </w:tcBorders>
            <w:shd w:val="clear" w:color="auto" w:fill="auto"/>
            <w:vAlign w:val="bottom"/>
          </w:tcPr>
          <w:p w:rsidR="00575CAF" w:rsidRDefault="00AE0AE3">
            <w:pPr>
              <w:spacing w:after="0" w:line="240" w:lineRule="auto"/>
              <w:ind w:left="81"/>
              <w:jc w:val="right"/>
              <w:rPr>
                <w:rFonts w:ascii="Calibri" w:eastAsia="Times New Roman" w:hAnsi="Calibri" w:cs="Times New Roman"/>
                <w:color w:val="000000"/>
                <w:sz w:val="20"/>
                <w:szCs w:val="20"/>
              </w:rPr>
            </w:pPr>
            <w:r>
              <w:rPr>
                <w:rFonts w:eastAsia="Times New Roman" w:cs="Times New Roman"/>
                <w:color w:val="000000"/>
                <w:sz w:val="20"/>
                <w:szCs w:val="20"/>
              </w:rPr>
              <w:t>0,1</w:t>
            </w:r>
          </w:p>
        </w:tc>
      </w:tr>
      <w:tr w:rsidR="00575CAF">
        <w:trPr>
          <w:trHeight w:val="2398"/>
        </w:trPr>
        <w:tc>
          <w:tcPr>
            <w:tcW w:w="439" w:type="dxa"/>
            <w:tcBorders>
              <w:left w:val="single" w:sz="4" w:space="0" w:color="000000"/>
              <w:bottom w:val="single" w:sz="4" w:space="0" w:color="000000"/>
              <w:right w:val="single" w:sz="4" w:space="0" w:color="000000"/>
            </w:tcBorders>
            <w:shd w:val="clear" w:color="auto" w:fill="auto"/>
            <w:vAlign w:val="bottom"/>
          </w:tcPr>
          <w:p w:rsidR="00575CAF" w:rsidRDefault="00AE0AE3">
            <w:pPr>
              <w:spacing w:after="0" w:line="240" w:lineRule="auto"/>
              <w:jc w:val="right"/>
              <w:rPr>
                <w:rFonts w:ascii="Calibri" w:eastAsia="Times New Roman" w:hAnsi="Calibri" w:cs="Times New Roman"/>
                <w:color w:val="000000"/>
                <w:sz w:val="20"/>
                <w:szCs w:val="20"/>
              </w:rPr>
            </w:pPr>
            <w:r>
              <w:rPr>
                <w:rFonts w:eastAsia="Times New Roman" w:cs="Times New Roman"/>
                <w:color w:val="000000"/>
                <w:sz w:val="20"/>
                <w:szCs w:val="20"/>
              </w:rPr>
              <w:t>3</w:t>
            </w:r>
          </w:p>
        </w:tc>
        <w:tc>
          <w:tcPr>
            <w:tcW w:w="1694"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Компетентность единоличного исполнительного органа</w:t>
            </w:r>
          </w:p>
        </w:tc>
        <w:tc>
          <w:tcPr>
            <w:tcW w:w="1986"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 xml:space="preserve">Единоличный исполнительный орган имеет управленческий опыт менее 5 лет. </w:t>
            </w:r>
          </w:p>
        </w:tc>
        <w:tc>
          <w:tcPr>
            <w:tcW w:w="1983"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 xml:space="preserve">Единоличный исполнительный орган имеет управленческий опыт более 5 лет. Имеет дополнительные компетенции, подтвержденные дипломами, сертификатами. </w:t>
            </w:r>
          </w:p>
        </w:tc>
        <w:tc>
          <w:tcPr>
            <w:tcW w:w="3828" w:type="dxa"/>
            <w:tcBorders>
              <w:bottom w:val="single" w:sz="4" w:space="0" w:color="000000"/>
              <w:right w:val="single" w:sz="4" w:space="0" w:color="000000"/>
            </w:tcBorders>
            <w:shd w:val="clear" w:color="auto" w:fill="auto"/>
            <w:vAlign w:val="bottom"/>
          </w:tcPr>
          <w:p w:rsidR="00575CAF" w:rsidRDefault="00AE0AE3">
            <w:pPr>
              <w:spacing w:after="0" w:line="240" w:lineRule="auto"/>
              <w:rPr>
                <w:rFonts w:ascii="Calibri" w:eastAsia="Times New Roman" w:hAnsi="Calibri" w:cs="Times New Roman"/>
                <w:color w:val="000000"/>
                <w:sz w:val="20"/>
                <w:szCs w:val="20"/>
              </w:rPr>
            </w:pPr>
            <w:r>
              <w:rPr>
                <w:rFonts w:eastAsia="Times New Roman" w:cs="Times New Roman"/>
                <w:color w:val="000000"/>
                <w:sz w:val="20"/>
                <w:szCs w:val="20"/>
              </w:rPr>
              <w:t>Единоличный исполнительный орган имеет управленческий опыт более 5 лет. Имеет дополнительные компетенции, подтвержденные дипломами, сертификатами. Входит в состав профессиональных объединений участников рынка ценных бумаг (комитетов, советов, ассоциаций)</w:t>
            </w:r>
          </w:p>
        </w:tc>
        <w:tc>
          <w:tcPr>
            <w:tcW w:w="849" w:type="dxa"/>
            <w:tcBorders>
              <w:bottom w:val="single" w:sz="4" w:space="0" w:color="000000"/>
              <w:right w:val="single" w:sz="4" w:space="0" w:color="000000"/>
            </w:tcBorders>
            <w:shd w:val="clear" w:color="auto" w:fill="auto"/>
            <w:vAlign w:val="bottom"/>
          </w:tcPr>
          <w:p w:rsidR="00575CAF" w:rsidRDefault="00AE0AE3">
            <w:pPr>
              <w:spacing w:after="0" w:line="240" w:lineRule="auto"/>
              <w:jc w:val="right"/>
              <w:rPr>
                <w:rFonts w:ascii="Calibri" w:eastAsia="Times New Roman" w:hAnsi="Calibri" w:cs="Times New Roman"/>
                <w:color w:val="000000"/>
                <w:sz w:val="20"/>
                <w:szCs w:val="20"/>
              </w:rPr>
            </w:pPr>
            <w:r>
              <w:rPr>
                <w:rFonts w:eastAsia="Times New Roman" w:cs="Times New Roman"/>
                <w:color w:val="000000"/>
                <w:sz w:val="20"/>
                <w:szCs w:val="20"/>
              </w:rPr>
              <w:t>0,15</w:t>
            </w:r>
          </w:p>
        </w:tc>
      </w:tr>
      <w:tr w:rsidR="00575CAF">
        <w:trPr>
          <w:trHeight w:val="2100"/>
        </w:trPr>
        <w:tc>
          <w:tcPr>
            <w:tcW w:w="439" w:type="dxa"/>
            <w:tcBorders>
              <w:left w:val="single" w:sz="4" w:space="0" w:color="000000"/>
              <w:bottom w:val="single" w:sz="4" w:space="0" w:color="000000"/>
              <w:right w:val="single" w:sz="4" w:space="0" w:color="000000"/>
            </w:tcBorders>
            <w:shd w:val="clear" w:color="auto" w:fill="auto"/>
            <w:vAlign w:val="bottom"/>
          </w:tcPr>
          <w:p w:rsidR="00575CAF" w:rsidRDefault="00AE0AE3">
            <w:pPr>
              <w:spacing w:after="0" w:line="240" w:lineRule="auto"/>
              <w:jc w:val="right"/>
              <w:rPr>
                <w:rFonts w:ascii="Calibri" w:eastAsia="Times New Roman" w:hAnsi="Calibri" w:cs="Times New Roman"/>
                <w:color w:val="000000"/>
                <w:sz w:val="20"/>
                <w:szCs w:val="20"/>
              </w:rPr>
            </w:pPr>
            <w:r>
              <w:rPr>
                <w:rFonts w:eastAsia="Times New Roman" w:cs="Times New Roman"/>
                <w:color w:val="000000"/>
                <w:sz w:val="20"/>
                <w:szCs w:val="20"/>
              </w:rPr>
              <w:t>4</w:t>
            </w:r>
          </w:p>
        </w:tc>
        <w:tc>
          <w:tcPr>
            <w:tcW w:w="1694"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Качество организационной структуры</w:t>
            </w:r>
          </w:p>
        </w:tc>
        <w:tc>
          <w:tcPr>
            <w:tcW w:w="1986"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Организационная структура не устойчива. Руководители направлений  не обладают достаточными компетенциями. Обязанности распределены нечетко.</w:t>
            </w:r>
          </w:p>
        </w:tc>
        <w:tc>
          <w:tcPr>
            <w:tcW w:w="1983"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Организационная структура достаточно устойчива. Руководители направлений обладают компетенциями в достаточном объеме. Обязанности не всегда четко распределены.</w:t>
            </w:r>
          </w:p>
        </w:tc>
        <w:tc>
          <w:tcPr>
            <w:tcW w:w="3828" w:type="dxa"/>
            <w:tcBorders>
              <w:bottom w:val="single" w:sz="4" w:space="0" w:color="000000"/>
              <w:right w:val="single" w:sz="4" w:space="0" w:color="000000"/>
            </w:tcBorders>
            <w:shd w:val="clear" w:color="auto" w:fill="auto"/>
            <w:vAlign w:val="bottom"/>
          </w:tcPr>
          <w:p w:rsidR="00575CAF" w:rsidRDefault="00AE0AE3">
            <w:pPr>
              <w:spacing w:after="0" w:line="240" w:lineRule="auto"/>
              <w:rPr>
                <w:rFonts w:ascii="Calibri" w:eastAsia="Times New Roman" w:hAnsi="Calibri" w:cs="Times New Roman"/>
                <w:color w:val="000000"/>
                <w:sz w:val="20"/>
                <w:szCs w:val="20"/>
              </w:rPr>
            </w:pPr>
            <w:r>
              <w:rPr>
                <w:rFonts w:eastAsia="Times New Roman" w:cs="Times New Roman"/>
                <w:color w:val="000000"/>
                <w:sz w:val="20"/>
                <w:szCs w:val="20"/>
              </w:rPr>
              <w:t>Организационная структура  устойчива. Руководители направлений обладают исключительно широкими компетенциями. Обязанности распределены предельно четко.</w:t>
            </w:r>
          </w:p>
        </w:tc>
        <w:tc>
          <w:tcPr>
            <w:tcW w:w="849" w:type="dxa"/>
            <w:tcBorders>
              <w:bottom w:val="single" w:sz="4" w:space="0" w:color="000000"/>
              <w:right w:val="single" w:sz="4" w:space="0" w:color="000000"/>
            </w:tcBorders>
            <w:shd w:val="clear" w:color="auto" w:fill="auto"/>
            <w:vAlign w:val="bottom"/>
          </w:tcPr>
          <w:p w:rsidR="00575CAF" w:rsidRDefault="00AE0AE3">
            <w:pPr>
              <w:spacing w:after="0" w:line="240" w:lineRule="auto"/>
              <w:jc w:val="right"/>
              <w:rPr>
                <w:rFonts w:ascii="Calibri" w:eastAsia="Times New Roman" w:hAnsi="Calibri" w:cs="Times New Roman"/>
                <w:color w:val="000000"/>
                <w:sz w:val="20"/>
                <w:szCs w:val="20"/>
              </w:rPr>
            </w:pPr>
            <w:r>
              <w:rPr>
                <w:rFonts w:eastAsia="Times New Roman" w:cs="Times New Roman"/>
                <w:color w:val="000000"/>
                <w:sz w:val="20"/>
                <w:szCs w:val="20"/>
              </w:rPr>
              <w:t>0,1</w:t>
            </w:r>
          </w:p>
        </w:tc>
      </w:tr>
      <w:tr w:rsidR="00575CAF">
        <w:trPr>
          <w:trHeight w:val="1200"/>
        </w:trPr>
        <w:tc>
          <w:tcPr>
            <w:tcW w:w="439" w:type="dxa"/>
            <w:tcBorders>
              <w:left w:val="single" w:sz="4" w:space="0" w:color="000000"/>
              <w:bottom w:val="single" w:sz="4" w:space="0" w:color="000000"/>
              <w:right w:val="single" w:sz="4" w:space="0" w:color="000000"/>
            </w:tcBorders>
            <w:shd w:val="clear" w:color="auto" w:fill="auto"/>
            <w:vAlign w:val="bottom"/>
          </w:tcPr>
          <w:p w:rsidR="00575CAF" w:rsidRDefault="00AE0AE3">
            <w:pPr>
              <w:spacing w:after="0" w:line="240" w:lineRule="auto"/>
              <w:jc w:val="right"/>
              <w:rPr>
                <w:rFonts w:ascii="Calibri" w:eastAsia="Times New Roman" w:hAnsi="Calibri" w:cs="Times New Roman"/>
                <w:color w:val="000000"/>
                <w:sz w:val="20"/>
                <w:szCs w:val="20"/>
              </w:rPr>
            </w:pPr>
            <w:r>
              <w:rPr>
                <w:rFonts w:eastAsia="Times New Roman" w:cs="Times New Roman"/>
                <w:color w:val="000000"/>
                <w:sz w:val="20"/>
                <w:szCs w:val="20"/>
              </w:rPr>
              <w:t>5</w:t>
            </w:r>
          </w:p>
        </w:tc>
        <w:tc>
          <w:tcPr>
            <w:tcW w:w="1694"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Финансовая эффективность деятельности</w:t>
            </w:r>
          </w:p>
        </w:tc>
        <w:tc>
          <w:tcPr>
            <w:tcW w:w="1986"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В последнем завершенном финансовом году регистратор показал убыток.</w:t>
            </w:r>
          </w:p>
        </w:tc>
        <w:tc>
          <w:tcPr>
            <w:tcW w:w="1983"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Регистратор получил прибыль, показатель рентабельности собственного капитала менее 10%</w:t>
            </w:r>
          </w:p>
        </w:tc>
        <w:tc>
          <w:tcPr>
            <w:tcW w:w="3828" w:type="dxa"/>
            <w:tcBorders>
              <w:bottom w:val="single" w:sz="4" w:space="0" w:color="000000"/>
              <w:right w:val="single" w:sz="4" w:space="0" w:color="000000"/>
            </w:tcBorders>
            <w:shd w:val="clear" w:color="auto" w:fill="auto"/>
            <w:vAlign w:val="bottom"/>
          </w:tcPr>
          <w:p w:rsidR="00575CAF" w:rsidRDefault="00AE0AE3">
            <w:pPr>
              <w:spacing w:after="0" w:line="240" w:lineRule="auto"/>
              <w:rPr>
                <w:rFonts w:ascii="Calibri" w:eastAsia="Times New Roman" w:hAnsi="Calibri" w:cs="Times New Roman"/>
                <w:color w:val="000000"/>
                <w:sz w:val="20"/>
                <w:szCs w:val="20"/>
              </w:rPr>
            </w:pPr>
            <w:r>
              <w:rPr>
                <w:rFonts w:eastAsia="Times New Roman" w:cs="Times New Roman"/>
                <w:color w:val="000000"/>
                <w:sz w:val="20"/>
                <w:szCs w:val="20"/>
              </w:rPr>
              <w:t xml:space="preserve">Регистратор </w:t>
            </w:r>
            <w:proofErr w:type="gramStart"/>
            <w:r>
              <w:rPr>
                <w:rFonts w:eastAsia="Times New Roman" w:cs="Times New Roman"/>
                <w:color w:val="000000"/>
                <w:sz w:val="20"/>
                <w:szCs w:val="20"/>
              </w:rPr>
              <w:t>получил</w:t>
            </w:r>
            <w:proofErr w:type="gramEnd"/>
            <w:r>
              <w:rPr>
                <w:rFonts w:eastAsia="Times New Roman" w:cs="Times New Roman"/>
                <w:color w:val="000000"/>
                <w:sz w:val="20"/>
                <w:szCs w:val="20"/>
              </w:rPr>
              <w:t xml:space="preserve"> прибыл, показатель рентабельности собственного капитала равен или более 10%</w:t>
            </w:r>
          </w:p>
        </w:tc>
        <w:tc>
          <w:tcPr>
            <w:tcW w:w="849" w:type="dxa"/>
            <w:tcBorders>
              <w:bottom w:val="single" w:sz="4" w:space="0" w:color="000000"/>
              <w:right w:val="single" w:sz="4" w:space="0" w:color="000000"/>
            </w:tcBorders>
            <w:shd w:val="clear" w:color="auto" w:fill="auto"/>
            <w:vAlign w:val="bottom"/>
          </w:tcPr>
          <w:p w:rsidR="00575CAF" w:rsidRDefault="00AE0AE3">
            <w:pPr>
              <w:spacing w:after="0" w:line="240" w:lineRule="auto"/>
              <w:jc w:val="right"/>
              <w:rPr>
                <w:rFonts w:ascii="Calibri" w:eastAsia="Times New Roman" w:hAnsi="Calibri" w:cs="Times New Roman"/>
                <w:color w:val="000000"/>
                <w:sz w:val="20"/>
                <w:szCs w:val="20"/>
              </w:rPr>
            </w:pPr>
            <w:r>
              <w:rPr>
                <w:rFonts w:eastAsia="Times New Roman" w:cs="Times New Roman"/>
                <w:color w:val="000000"/>
                <w:sz w:val="20"/>
                <w:szCs w:val="20"/>
              </w:rPr>
              <w:t>0,1</w:t>
            </w:r>
          </w:p>
        </w:tc>
        <w:bookmarkStart w:id="0" w:name="_GoBack"/>
        <w:bookmarkEnd w:id="0"/>
      </w:tr>
      <w:tr w:rsidR="00575CAF">
        <w:trPr>
          <w:trHeight w:val="4699"/>
        </w:trPr>
        <w:tc>
          <w:tcPr>
            <w:tcW w:w="439" w:type="dxa"/>
            <w:tcBorders>
              <w:left w:val="single" w:sz="4" w:space="0" w:color="000000"/>
              <w:bottom w:val="single" w:sz="4" w:space="0" w:color="000000"/>
              <w:right w:val="single" w:sz="4" w:space="0" w:color="000000"/>
            </w:tcBorders>
            <w:shd w:val="clear" w:color="auto" w:fill="auto"/>
            <w:vAlign w:val="bottom"/>
          </w:tcPr>
          <w:p w:rsidR="00575CAF" w:rsidRDefault="00AE0AE3">
            <w:pPr>
              <w:spacing w:after="0" w:line="240" w:lineRule="auto"/>
              <w:jc w:val="right"/>
              <w:rPr>
                <w:rFonts w:ascii="Calibri" w:eastAsia="Times New Roman" w:hAnsi="Calibri" w:cs="Times New Roman"/>
                <w:color w:val="000000"/>
                <w:sz w:val="20"/>
                <w:szCs w:val="20"/>
              </w:rPr>
            </w:pPr>
            <w:r>
              <w:rPr>
                <w:rFonts w:eastAsia="Times New Roman" w:cs="Times New Roman"/>
                <w:color w:val="000000"/>
                <w:sz w:val="20"/>
                <w:szCs w:val="20"/>
              </w:rPr>
              <w:t>6</w:t>
            </w:r>
          </w:p>
        </w:tc>
        <w:tc>
          <w:tcPr>
            <w:tcW w:w="1694"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Степень диверсификации доходов по видам оказываемых услуг</w:t>
            </w:r>
          </w:p>
        </w:tc>
        <w:tc>
          <w:tcPr>
            <w:tcW w:w="1986"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Недостаточная степень диверсификации. Основной  объем выручки обеспечивается абонентской платой, взимаемой с эмитентов, за услуги по ведению реестра.</w:t>
            </w:r>
          </w:p>
        </w:tc>
        <w:tc>
          <w:tcPr>
            <w:tcW w:w="1983"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 xml:space="preserve">Средняя степень диверсификации. Основной объем выручки обеспечивается в сопоставимых объемах следующими видами услуг: </w:t>
            </w:r>
          </w:p>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 xml:space="preserve">- абонентской платой, взимаемой с эмитентов, за услуги по ведению реестра; </w:t>
            </w:r>
            <w:r>
              <w:rPr>
                <w:rFonts w:eastAsia="Times New Roman" w:cs="Times New Roman"/>
                <w:color w:val="000000"/>
                <w:sz w:val="20"/>
                <w:szCs w:val="20"/>
              </w:rPr>
              <w:br/>
              <w:t>- платой зарегистрированных лиц за услуги, оказываемые в соответствии с Тарифами/Прейскурантами для зарегистрированных лиц.</w:t>
            </w:r>
          </w:p>
        </w:tc>
        <w:tc>
          <w:tcPr>
            <w:tcW w:w="3828" w:type="dxa"/>
            <w:tcBorders>
              <w:bottom w:val="single" w:sz="4" w:space="0" w:color="000000"/>
              <w:right w:val="single" w:sz="4" w:space="0" w:color="000000"/>
            </w:tcBorders>
            <w:shd w:val="clear" w:color="auto" w:fill="auto"/>
            <w:vAlign w:val="bottom"/>
          </w:tcPr>
          <w:p w:rsidR="00575CAF" w:rsidRDefault="00AE0AE3">
            <w:pPr>
              <w:spacing w:after="0" w:line="240" w:lineRule="auto"/>
              <w:rPr>
                <w:rFonts w:ascii="Calibri" w:eastAsia="Times New Roman" w:hAnsi="Calibri" w:cs="Times New Roman"/>
                <w:color w:val="000000"/>
                <w:sz w:val="20"/>
                <w:szCs w:val="20"/>
              </w:rPr>
            </w:pPr>
            <w:r>
              <w:rPr>
                <w:rFonts w:eastAsia="Times New Roman" w:cs="Times New Roman"/>
                <w:color w:val="000000"/>
                <w:sz w:val="20"/>
                <w:szCs w:val="20"/>
              </w:rPr>
              <w:t>Высокая степень диверсификации. Доля выручки от одного вида оказываемых услуг не превышает 30% в общем объеме выручки. Основной объем выручки обеспечивается в сопоставимых объемах следующими видами услуг:</w:t>
            </w:r>
            <w:r>
              <w:rPr>
                <w:rFonts w:eastAsia="Times New Roman" w:cs="Times New Roman"/>
                <w:color w:val="000000"/>
                <w:sz w:val="20"/>
                <w:szCs w:val="20"/>
              </w:rPr>
              <w:br/>
              <w:t xml:space="preserve">- абонентской платой, взимаемой с эмитентов, за услуги по ведению реестра; </w:t>
            </w:r>
            <w:r>
              <w:rPr>
                <w:rFonts w:eastAsia="Times New Roman" w:cs="Times New Roman"/>
                <w:color w:val="000000"/>
                <w:sz w:val="20"/>
                <w:szCs w:val="20"/>
              </w:rPr>
              <w:br/>
              <w:t>- платой зарегистрированных лиц за услуги, оказываемые в соответствии с Тарифами/Прейскурантами для зарегистрированных лиц;</w:t>
            </w:r>
            <w:r>
              <w:rPr>
                <w:rFonts w:eastAsia="Times New Roman" w:cs="Times New Roman"/>
                <w:color w:val="000000"/>
                <w:sz w:val="20"/>
                <w:szCs w:val="20"/>
              </w:rPr>
              <w:br/>
              <w:t>- подготовкой и проведением общих собраний акционеров;</w:t>
            </w:r>
            <w:r>
              <w:rPr>
                <w:rFonts w:eastAsia="Times New Roman" w:cs="Times New Roman"/>
                <w:color w:val="000000"/>
                <w:sz w:val="20"/>
                <w:szCs w:val="20"/>
              </w:rPr>
              <w:br/>
              <w:t>- организацией и проведением корпоративных действий;</w:t>
            </w:r>
            <w:r>
              <w:rPr>
                <w:rFonts w:eastAsia="Times New Roman" w:cs="Times New Roman"/>
                <w:color w:val="000000"/>
                <w:sz w:val="20"/>
                <w:szCs w:val="20"/>
              </w:rPr>
              <w:br/>
              <w:t>выплатой дивидендов.</w:t>
            </w:r>
          </w:p>
        </w:tc>
        <w:tc>
          <w:tcPr>
            <w:tcW w:w="849" w:type="dxa"/>
            <w:tcBorders>
              <w:bottom w:val="single" w:sz="4" w:space="0" w:color="000000"/>
              <w:right w:val="single" w:sz="4" w:space="0" w:color="000000"/>
            </w:tcBorders>
            <w:shd w:val="clear" w:color="auto" w:fill="auto"/>
            <w:vAlign w:val="bottom"/>
          </w:tcPr>
          <w:p w:rsidR="00575CAF" w:rsidRDefault="00AE0AE3">
            <w:pPr>
              <w:spacing w:after="0" w:line="240" w:lineRule="auto"/>
              <w:jc w:val="right"/>
              <w:rPr>
                <w:rFonts w:ascii="Calibri" w:eastAsia="Times New Roman" w:hAnsi="Calibri" w:cs="Times New Roman"/>
                <w:color w:val="000000"/>
                <w:sz w:val="20"/>
                <w:szCs w:val="20"/>
              </w:rPr>
            </w:pPr>
            <w:r>
              <w:rPr>
                <w:rFonts w:eastAsia="Times New Roman" w:cs="Times New Roman"/>
                <w:color w:val="000000"/>
                <w:sz w:val="20"/>
                <w:szCs w:val="20"/>
              </w:rPr>
              <w:t>0,05</w:t>
            </w:r>
          </w:p>
        </w:tc>
      </w:tr>
      <w:tr w:rsidR="00575CAF">
        <w:trPr>
          <w:trHeight w:val="1266"/>
        </w:trPr>
        <w:tc>
          <w:tcPr>
            <w:tcW w:w="439" w:type="dxa"/>
            <w:tcBorders>
              <w:left w:val="single" w:sz="4" w:space="0" w:color="000000"/>
              <w:bottom w:val="single" w:sz="4" w:space="0" w:color="000000"/>
              <w:right w:val="single" w:sz="4" w:space="0" w:color="000000"/>
            </w:tcBorders>
            <w:shd w:val="clear" w:color="auto" w:fill="auto"/>
            <w:vAlign w:val="bottom"/>
          </w:tcPr>
          <w:p w:rsidR="00575CAF" w:rsidRDefault="00AE0AE3">
            <w:pPr>
              <w:spacing w:after="0" w:line="240" w:lineRule="auto"/>
              <w:jc w:val="right"/>
              <w:rPr>
                <w:rFonts w:ascii="Calibri" w:eastAsia="Times New Roman" w:hAnsi="Calibri" w:cs="Times New Roman"/>
                <w:color w:val="000000"/>
                <w:sz w:val="20"/>
                <w:szCs w:val="20"/>
              </w:rPr>
            </w:pPr>
            <w:r>
              <w:rPr>
                <w:rFonts w:eastAsia="Times New Roman" w:cs="Times New Roman"/>
                <w:color w:val="000000"/>
                <w:sz w:val="20"/>
                <w:szCs w:val="20"/>
              </w:rPr>
              <w:t>7</w:t>
            </w:r>
          </w:p>
        </w:tc>
        <w:tc>
          <w:tcPr>
            <w:tcW w:w="1694"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Устойчивость клиентской базы (эмитенты)</w:t>
            </w:r>
          </w:p>
        </w:tc>
        <w:tc>
          <w:tcPr>
            <w:tcW w:w="1986"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Регистратор не имеет устойчивых связей с основными клиентами.</w:t>
            </w:r>
          </w:p>
        </w:tc>
        <w:tc>
          <w:tcPr>
            <w:tcW w:w="1983"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Регистратор имеет достаточно устойчивые связи с основными клиентами.</w:t>
            </w:r>
          </w:p>
        </w:tc>
        <w:tc>
          <w:tcPr>
            <w:tcW w:w="3828" w:type="dxa"/>
            <w:tcBorders>
              <w:bottom w:val="single" w:sz="4" w:space="0" w:color="000000"/>
              <w:right w:val="single" w:sz="4" w:space="0" w:color="000000"/>
            </w:tcBorders>
            <w:shd w:val="clear" w:color="auto" w:fill="auto"/>
            <w:vAlign w:val="bottom"/>
          </w:tcPr>
          <w:p w:rsidR="00575CAF" w:rsidRDefault="00AE0AE3">
            <w:pPr>
              <w:spacing w:after="0" w:line="240" w:lineRule="auto"/>
              <w:rPr>
                <w:rFonts w:ascii="Calibri" w:eastAsia="Times New Roman" w:hAnsi="Calibri" w:cs="Times New Roman"/>
                <w:color w:val="000000"/>
                <w:sz w:val="20"/>
                <w:szCs w:val="20"/>
              </w:rPr>
            </w:pPr>
            <w:r>
              <w:rPr>
                <w:rFonts w:eastAsia="Times New Roman" w:cs="Times New Roman"/>
                <w:color w:val="000000"/>
                <w:sz w:val="20"/>
                <w:szCs w:val="20"/>
              </w:rPr>
              <w:t xml:space="preserve">Регистратор имеет устойчивые связи с </w:t>
            </w:r>
            <w:proofErr w:type="gramStart"/>
            <w:r>
              <w:rPr>
                <w:rFonts w:eastAsia="Times New Roman" w:cs="Times New Roman"/>
                <w:color w:val="000000"/>
                <w:sz w:val="20"/>
                <w:szCs w:val="20"/>
              </w:rPr>
              <w:t>основными</w:t>
            </w:r>
            <w:proofErr w:type="gramEnd"/>
            <w:r>
              <w:rPr>
                <w:rFonts w:eastAsia="Times New Roman" w:cs="Times New Roman"/>
                <w:color w:val="000000"/>
                <w:sz w:val="20"/>
                <w:szCs w:val="20"/>
              </w:rPr>
              <w:t xml:space="preserve"> клиентам (длительность взаимодействия, положительный опыт обслуживания, принадлежность к одной группе лиц)</w:t>
            </w:r>
          </w:p>
        </w:tc>
        <w:tc>
          <w:tcPr>
            <w:tcW w:w="849" w:type="dxa"/>
            <w:tcBorders>
              <w:bottom w:val="single" w:sz="4" w:space="0" w:color="000000"/>
              <w:right w:val="single" w:sz="4" w:space="0" w:color="000000"/>
            </w:tcBorders>
            <w:shd w:val="clear" w:color="auto" w:fill="auto"/>
            <w:vAlign w:val="bottom"/>
          </w:tcPr>
          <w:p w:rsidR="00575CAF" w:rsidRDefault="00AE0AE3">
            <w:pPr>
              <w:spacing w:after="0" w:line="240" w:lineRule="auto"/>
              <w:jc w:val="right"/>
              <w:rPr>
                <w:rFonts w:ascii="Calibri" w:eastAsia="Times New Roman" w:hAnsi="Calibri" w:cs="Times New Roman"/>
                <w:color w:val="000000"/>
                <w:sz w:val="20"/>
                <w:szCs w:val="20"/>
              </w:rPr>
            </w:pPr>
            <w:r>
              <w:rPr>
                <w:rFonts w:eastAsia="Times New Roman" w:cs="Times New Roman"/>
                <w:color w:val="000000"/>
                <w:sz w:val="20"/>
                <w:szCs w:val="20"/>
              </w:rPr>
              <w:t>0,1</w:t>
            </w:r>
          </w:p>
        </w:tc>
      </w:tr>
      <w:tr w:rsidR="00575CAF">
        <w:trPr>
          <w:trHeight w:val="3391"/>
        </w:trPr>
        <w:tc>
          <w:tcPr>
            <w:tcW w:w="439" w:type="dxa"/>
            <w:tcBorders>
              <w:left w:val="single" w:sz="4" w:space="0" w:color="000000"/>
              <w:bottom w:val="single" w:sz="4" w:space="0" w:color="000000"/>
              <w:right w:val="single" w:sz="4" w:space="0" w:color="000000"/>
            </w:tcBorders>
            <w:shd w:val="clear" w:color="auto" w:fill="auto"/>
            <w:vAlign w:val="bottom"/>
          </w:tcPr>
          <w:p w:rsidR="00575CAF" w:rsidRDefault="00AE0AE3">
            <w:pPr>
              <w:spacing w:after="0" w:line="240" w:lineRule="auto"/>
              <w:jc w:val="right"/>
              <w:rPr>
                <w:rFonts w:ascii="Calibri" w:eastAsia="Times New Roman" w:hAnsi="Calibri" w:cs="Times New Roman"/>
                <w:color w:val="000000"/>
                <w:sz w:val="20"/>
                <w:szCs w:val="20"/>
              </w:rPr>
            </w:pPr>
            <w:r>
              <w:rPr>
                <w:rFonts w:eastAsia="Times New Roman" w:cs="Times New Roman"/>
                <w:color w:val="000000"/>
                <w:sz w:val="20"/>
                <w:szCs w:val="20"/>
              </w:rPr>
              <w:t>8</w:t>
            </w:r>
          </w:p>
        </w:tc>
        <w:tc>
          <w:tcPr>
            <w:tcW w:w="1694"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Качество электронных сервисов (личный кабинет эмитента, личный кабинет акционера, электронное голосование на общих собраниях акционеров), предоставляемых эмитентам и зарегистрированным лицам</w:t>
            </w:r>
          </w:p>
        </w:tc>
        <w:tc>
          <w:tcPr>
            <w:tcW w:w="1986"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 xml:space="preserve">Электронные сервисы не </w:t>
            </w:r>
            <w:proofErr w:type="gramStart"/>
            <w:r>
              <w:rPr>
                <w:rFonts w:eastAsia="Times New Roman" w:cs="Times New Roman"/>
                <w:color w:val="000000"/>
                <w:sz w:val="20"/>
                <w:szCs w:val="20"/>
              </w:rPr>
              <w:t>предоставляются клиентам/не все сервисы доступны</w:t>
            </w:r>
            <w:proofErr w:type="gramEnd"/>
            <w:r>
              <w:rPr>
                <w:rFonts w:eastAsia="Times New Roman" w:cs="Times New Roman"/>
                <w:color w:val="000000"/>
                <w:sz w:val="20"/>
                <w:szCs w:val="20"/>
              </w:rPr>
              <w:t xml:space="preserve"> клиентам. Доступные сервисы имеют минимальную функциональность</w:t>
            </w:r>
            <w:proofErr w:type="gramStart"/>
            <w:r>
              <w:rPr>
                <w:rFonts w:eastAsia="Times New Roman" w:cs="Times New Roman"/>
                <w:color w:val="000000"/>
                <w:sz w:val="20"/>
                <w:szCs w:val="20"/>
              </w:rPr>
              <w:t>..</w:t>
            </w:r>
            <w:proofErr w:type="gramEnd"/>
          </w:p>
        </w:tc>
        <w:tc>
          <w:tcPr>
            <w:tcW w:w="1983"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Все электронные сервисы доступны для клиентов, обладают базовой функциональностью.</w:t>
            </w:r>
          </w:p>
        </w:tc>
        <w:tc>
          <w:tcPr>
            <w:tcW w:w="3828"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Все электронные сервисы доступны для клиентов, обладают расширенной функциональностью. Клиенты могут пользоваться сервисами, применяя усиленную квалифицированную электронную подпись или простую электронную подпись. Технологически регистратор имеет возможность обеспечить совместную работу с системой электронного голосования НРД.</w:t>
            </w:r>
          </w:p>
        </w:tc>
        <w:tc>
          <w:tcPr>
            <w:tcW w:w="849" w:type="dxa"/>
            <w:tcBorders>
              <w:bottom w:val="single" w:sz="4" w:space="0" w:color="000000"/>
              <w:right w:val="single" w:sz="4" w:space="0" w:color="000000"/>
            </w:tcBorders>
            <w:shd w:val="clear" w:color="auto" w:fill="auto"/>
            <w:vAlign w:val="bottom"/>
          </w:tcPr>
          <w:p w:rsidR="00575CAF" w:rsidRDefault="00AE0AE3">
            <w:pPr>
              <w:spacing w:after="0" w:line="240" w:lineRule="auto"/>
              <w:jc w:val="right"/>
              <w:rPr>
                <w:rFonts w:ascii="Calibri" w:eastAsia="Times New Roman" w:hAnsi="Calibri" w:cs="Times New Roman"/>
                <w:color w:val="000000"/>
                <w:sz w:val="20"/>
                <w:szCs w:val="20"/>
              </w:rPr>
            </w:pPr>
            <w:r>
              <w:rPr>
                <w:rFonts w:eastAsia="Times New Roman" w:cs="Times New Roman"/>
                <w:color w:val="000000"/>
                <w:sz w:val="20"/>
                <w:szCs w:val="20"/>
              </w:rPr>
              <w:t>0,05</w:t>
            </w:r>
          </w:p>
        </w:tc>
      </w:tr>
      <w:tr w:rsidR="00575CAF">
        <w:trPr>
          <w:trHeight w:val="3300"/>
        </w:trPr>
        <w:tc>
          <w:tcPr>
            <w:tcW w:w="439" w:type="dxa"/>
            <w:tcBorders>
              <w:left w:val="single" w:sz="4" w:space="0" w:color="000000"/>
              <w:bottom w:val="single" w:sz="4" w:space="0" w:color="000000"/>
              <w:right w:val="single" w:sz="4" w:space="0" w:color="000000"/>
            </w:tcBorders>
            <w:shd w:val="clear" w:color="auto" w:fill="auto"/>
            <w:vAlign w:val="bottom"/>
          </w:tcPr>
          <w:p w:rsidR="00575CAF" w:rsidRDefault="00AE0AE3">
            <w:pPr>
              <w:spacing w:after="0" w:line="240" w:lineRule="auto"/>
              <w:jc w:val="right"/>
              <w:rPr>
                <w:rFonts w:ascii="Calibri" w:eastAsia="Times New Roman" w:hAnsi="Calibri" w:cs="Times New Roman"/>
                <w:color w:val="000000"/>
                <w:sz w:val="20"/>
                <w:szCs w:val="20"/>
              </w:rPr>
            </w:pPr>
            <w:r>
              <w:rPr>
                <w:rFonts w:eastAsia="Times New Roman" w:cs="Times New Roman"/>
                <w:color w:val="000000"/>
                <w:sz w:val="20"/>
                <w:szCs w:val="20"/>
              </w:rPr>
              <w:t>9</w:t>
            </w:r>
          </w:p>
        </w:tc>
        <w:tc>
          <w:tcPr>
            <w:tcW w:w="1694"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Соответствие требованиям Банка России, функциональность и гибкость системы ведения реестра</w:t>
            </w:r>
          </w:p>
        </w:tc>
        <w:tc>
          <w:tcPr>
            <w:tcW w:w="1986"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 xml:space="preserve">Собственное </w:t>
            </w:r>
            <w:proofErr w:type="gramStart"/>
            <w:r>
              <w:rPr>
                <w:rFonts w:eastAsia="Times New Roman" w:cs="Times New Roman"/>
                <w:color w:val="000000"/>
                <w:sz w:val="20"/>
                <w:szCs w:val="20"/>
              </w:rPr>
              <w:t>ПО</w:t>
            </w:r>
            <w:proofErr w:type="gramEnd"/>
            <w:r>
              <w:rPr>
                <w:rFonts w:eastAsia="Times New Roman" w:cs="Times New Roman"/>
                <w:color w:val="000000"/>
                <w:sz w:val="20"/>
                <w:szCs w:val="20"/>
              </w:rPr>
              <w:t xml:space="preserve"> или </w:t>
            </w:r>
            <w:proofErr w:type="gramStart"/>
            <w:r>
              <w:rPr>
                <w:rFonts w:eastAsia="Times New Roman" w:cs="Times New Roman"/>
                <w:color w:val="000000"/>
                <w:sz w:val="20"/>
                <w:szCs w:val="20"/>
              </w:rPr>
              <w:t>ПО</w:t>
            </w:r>
            <w:proofErr w:type="gramEnd"/>
            <w:r>
              <w:rPr>
                <w:rFonts w:eastAsia="Times New Roman" w:cs="Times New Roman"/>
                <w:color w:val="000000"/>
                <w:sz w:val="20"/>
                <w:szCs w:val="20"/>
              </w:rPr>
              <w:t xml:space="preserve"> третьей стороны, не в полном объеме соответствующее требованиям Банка России, обладающее минимальной функциональностью, не обеспечивающее достаточное удобство и скорость работы пользователей. Совершенствование </w:t>
            </w:r>
            <w:proofErr w:type="gramStart"/>
            <w:r>
              <w:rPr>
                <w:rFonts w:eastAsia="Times New Roman" w:cs="Times New Roman"/>
                <w:color w:val="000000"/>
                <w:sz w:val="20"/>
                <w:szCs w:val="20"/>
              </w:rPr>
              <w:t>ПО</w:t>
            </w:r>
            <w:proofErr w:type="gramEnd"/>
            <w:r>
              <w:rPr>
                <w:rFonts w:eastAsia="Times New Roman" w:cs="Times New Roman"/>
                <w:color w:val="000000"/>
                <w:sz w:val="20"/>
                <w:szCs w:val="20"/>
              </w:rPr>
              <w:t xml:space="preserve"> </w:t>
            </w:r>
            <w:proofErr w:type="spellStart"/>
            <w:proofErr w:type="gramStart"/>
            <w:r>
              <w:rPr>
                <w:rFonts w:eastAsia="Times New Roman" w:cs="Times New Roman"/>
                <w:color w:val="000000"/>
                <w:sz w:val="20"/>
                <w:szCs w:val="20"/>
              </w:rPr>
              <w:t>по</w:t>
            </w:r>
            <w:proofErr w:type="spellEnd"/>
            <w:proofErr w:type="gramEnd"/>
            <w:r>
              <w:rPr>
                <w:rFonts w:eastAsia="Times New Roman" w:cs="Times New Roman"/>
                <w:color w:val="000000"/>
                <w:sz w:val="20"/>
                <w:szCs w:val="20"/>
              </w:rPr>
              <w:t xml:space="preserve"> запросам пользователей затруднено.</w:t>
            </w:r>
          </w:p>
        </w:tc>
        <w:tc>
          <w:tcPr>
            <w:tcW w:w="1983"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 xml:space="preserve">Собственное </w:t>
            </w:r>
            <w:proofErr w:type="gramStart"/>
            <w:r>
              <w:rPr>
                <w:rFonts w:eastAsia="Times New Roman" w:cs="Times New Roman"/>
                <w:color w:val="000000"/>
                <w:sz w:val="20"/>
                <w:szCs w:val="20"/>
              </w:rPr>
              <w:t>ПО</w:t>
            </w:r>
            <w:proofErr w:type="gramEnd"/>
            <w:r>
              <w:rPr>
                <w:rFonts w:eastAsia="Times New Roman" w:cs="Times New Roman"/>
                <w:color w:val="000000"/>
                <w:sz w:val="20"/>
                <w:szCs w:val="20"/>
              </w:rPr>
              <w:t xml:space="preserve"> или </w:t>
            </w:r>
            <w:proofErr w:type="gramStart"/>
            <w:r>
              <w:rPr>
                <w:rFonts w:eastAsia="Times New Roman" w:cs="Times New Roman"/>
                <w:color w:val="000000"/>
                <w:sz w:val="20"/>
                <w:szCs w:val="20"/>
              </w:rPr>
              <w:t>ПО</w:t>
            </w:r>
            <w:proofErr w:type="gramEnd"/>
            <w:r>
              <w:rPr>
                <w:rFonts w:eastAsia="Times New Roman" w:cs="Times New Roman"/>
                <w:color w:val="000000"/>
                <w:sz w:val="20"/>
                <w:szCs w:val="20"/>
              </w:rPr>
              <w:t xml:space="preserve"> третьей стороны, соответствующее требованиям Банка России, обладающее достаточной функциональностью, и обеспечивающее достаточное удобство и скорость работы пользователей. Совершенствование </w:t>
            </w:r>
            <w:proofErr w:type="gramStart"/>
            <w:r>
              <w:rPr>
                <w:rFonts w:eastAsia="Times New Roman" w:cs="Times New Roman"/>
                <w:color w:val="000000"/>
                <w:sz w:val="20"/>
                <w:szCs w:val="20"/>
              </w:rPr>
              <w:t>ПО</w:t>
            </w:r>
            <w:proofErr w:type="gramEnd"/>
            <w:r>
              <w:rPr>
                <w:rFonts w:eastAsia="Times New Roman" w:cs="Times New Roman"/>
                <w:color w:val="000000"/>
                <w:sz w:val="20"/>
                <w:szCs w:val="20"/>
              </w:rPr>
              <w:t xml:space="preserve"> </w:t>
            </w:r>
            <w:proofErr w:type="spellStart"/>
            <w:proofErr w:type="gramStart"/>
            <w:r>
              <w:rPr>
                <w:rFonts w:eastAsia="Times New Roman" w:cs="Times New Roman"/>
                <w:color w:val="000000"/>
                <w:sz w:val="20"/>
                <w:szCs w:val="20"/>
              </w:rPr>
              <w:t>по</w:t>
            </w:r>
            <w:proofErr w:type="spellEnd"/>
            <w:proofErr w:type="gramEnd"/>
            <w:r>
              <w:rPr>
                <w:rFonts w:eastAsia="Times New Roman" w:cs="Times New Roman"/>
                <w:color w:val="000000"/>
                <w:sz w:val="20"/>
                <w:szCs w:val="20"/>
              </w:rPr>
              <w:t xml:space="preserve"> запросам пользователей затруднено.</w:t>
            </w:r>
          </w:p>
        </w:tc>
        <w:tc>
          <w:tcPr>
            <w:tcW w:w="3828" w:type="dxa"/>
            <w:tcBorders>
              <w:bottom w:val="single" w:sz="4" w:space="0" w:color="000000"/>
              <w:right w:val="single" w:sz="4" w:space="0" w:color="000000"/>
            </w:tcBorders>
            <w:shd w:val="clear" w:color="auto" w:fill="auto"/>
            <w:vAlign w:val="bottom"/>
          </w:tcPr>
          <w:p w:rsidR="00575CAF" w:rsidRDefault="00AE0AE3">
            <w:pPr>
              <w:spacing w:after="0" w:line="240" w:lineRule="auto"/>
              <w:rPr>
                <w:rFonts w:ascii="Calibri" w:eastAsia="Times New Roman" w:hAnsi="Calibri" w:cs="Times New Roman"/>
                <w:color w:val="000000"/>
                <w:sz w:val="20"/>
                <w:szCs w:val="20"/>
              </w:rPr>
            </w:pPr>
            <w:r>
              <w:rPr>
                <w:rFonts w:eastAsia="Times New Roman" w:cs="Times New Roman"/>
                <w:color w:val="000000"/>
                <w:sz w:val="20"/>
                <w:szCs w:val="20"/>
              </w:rPr>
              <w:t xml:space="preserve">Собственное </w:t>
            </w:r>
            <w:proofErr w:type="gramStart"/>
            <w:r>
              <w:rPr>
                <w:rFonts w:eastAsia="Times New Roman" w:cs="Times New Roman"/>
                <w:color w:val="000000"/>
                <w:sz w:val="20"/>
                <w:szCs w:val="20"/>
              </w:rPr>
              <w:t>ПО</w:t>
            </w:r>
            <w:proofErr w:type="gramEnd"/>
            <w:r>
              <w:rPr>
                <w:rFonts w:eastAsia="Times New Roman" w:cs="Times New Roman"/>
                <w:color w:val="000000"/>
                <w:sz w:val="20"/>
                <w:szCs w:val="20"/>
              </w:rPr>
              <w:t xml:space="preserve"> или </w:t>
            </w:r>
            <w:proofErr w:type="gramStart"/>
            <w:r>
              <w:rPr>
                <w:rFonts w:eastAsia="Times New Roman" w:cs="Times New Roman"/>
                <w:color w:val="000000"/>
                <w:sz w:val="20"/>
                <w:szCs w:val="20"/>
              </w:rPr>
              <w:t>ПО</w:t>
            </w:r>
            <w:proofErr w:type="gramEnd"/>
            <w:r>
              <w:rPr>
                <w:rFonts w:eastAsia="Times New Roman" w:cs="Times New Roman"/>
                <w:color w:val="000000"/>
                <w:sz w:val="20"/>
                <w:szCs w:val="20"/>
              </w:rPr>
              <w:t xml:space="preserve"> третьей стороны, соответствующее требованиям Банка России, обладающее расширенной функциональностью, обеспечивающее достаточное удобство и скорость работы пользователей. Совершенствование </w:t>
            </w:r>
            <w:proofErr w:type="gramStart"/>
            <w:r>
              <w:rPr>
                <w:rFonts w:eastAsia="Times New Roman" w:cs="Times New Roman"/>
                <w:color w:val="000000"/>
                <w:sz w:val="20"/>
                <w:szCs w:val="20"/>
              </w:rPr>
              <w:t>ПО</w:t>
            </w:r>
            <w:proofErr w:type="gramEnd"/>
            <w:r>
              <w:rPr>
                <w:rFonts w:eastAsia="Times New Roman" w:cs="Times New Roman"/>
                <w:color w:val="000000"/>
                <w:sz w:val="20"/>
                <w:szCs w:val="20"/>
              </w:rPr>
              <w:t xml:space="preserve"> осуществляется регулярно </w:t>
            </w:r>
            <w:proofErr w:type="gramStart"/>
            <w:r>
              <w:rPr>
                <w:rFonts w:eastAsia="Times New Roman" w:cs="Times New Roman"/>
                <w:color w:val="000000"/>
                <w:sz w:val="20"/>
                <w:szCs w:val="20"/>
              </w:rPr>
              <w:t>в</w:t>
            </w:r>
            <w:proofErr w:type="gramEnd"/>
            <w:r>
              <w:rPr>
                <w:rFonts w:eastAsia="Times New Roman" w:cs="Times New Roman"/>
                <w:color w:val="000000"/>
                <w:sz w:val="20"/>
                <w:szCs w:val="20"/>
              </w:rPr>
              <w:t xml:space="preserve"> соответствии с запросами пользователей.</w:t>
            </w:r>
          </w:p>
        </w:tc>
        <w:tc>
          <w:tcPr>
            <w:tcW w:w="849" w:type="dxa"/>
            <w:tcBorders>
              <w:bottom w:val="single" w:sz="4" w:space="0" w:color="000000"/>
              <w:right w:val="single" w:sz="4" w:space="0" w:color="000000"/>
            </w:tcBorders>
            <w:shd w:val="clear" w:color="auto" w:fill="auto"/>
            <w:vAlign w:val="bottom"/>
          </w:tcPr>
          <w:p w:rsidR="00575CAF" w:rsidRDefault="00AE0AE3">
            <w:pPr>
              <w:spacing w:after="0" w:line="240" w:lineRule="auto"/>
              <w:jc w:val="right"/>
              <w:rPr>
                <w:rFonts w:ascii="Calibri" w:eastAsia="Times New Roman" w:hAnsi="Calibri" w:cs="Times New Roman"/>
                <w:color w:val="000000"/>
                <w:sz w:val="20"/>
                <w:szCs w:val="20"/>
              </w:rPr>
            </w:pPr>
            <w:r>
              <w:rPr>
                <w:rFonts w:eastAsia="Times New Roman" w:cs="Times New Roman"/>
                <w:color w:val="000000"/>
                <w:sz w:val="20"/>
                <w:szCs w:val="20"/>
              </w:rPr>
              <w:t>0,1</w:t>
            </w:r>
          </w:p>
        </w:tc>
      </w:tr>
      <w:tr w:rsidR="00575CAF">
        <w:trPr>
          <w:trHeight w:val="1548"/>
        </w:trPr>
        <w:tc>
          <w:tcPr>
            <w:tcW w:w="439" w:type="dxa"/>
            <w:tcBorders>
              <w:left w:val="single" w:sz="4" w:space="0" w:color="000000"/>
              <w:bottom w:val="single" w:sz="4" w:space="0" w:color="000000"/>
              <w:right w:val="single" w:sz="4" w:space="0" w:color="000000"/>
            </w:tcBorders>
            <w:shd w:val="clear" w:color="auto" w:fill="auto"/>
            <w:vAlign w:val="bottom"/>
          </w:tcPr>
          <w:p w:rsidR="00575CAF" w:rsidRDefault="00AE0AE3">
            <w:pPr>
              <w:spacing w:after="0" w:line="240" w:lineRule="auto"/>
              <w:jc w:val="right"/>
              <w:rPr>
                <w:rFonts w:ascii="Calibri" w:eastAsia="Times New Roman" w:hAnsi="Calibri" w:cs="Times New Roman"/>
                <w:color w:val="000000"/>
                <w:sz w:val="20"/>
                <w:szCs w:val="20"/>
              </w:rPr>
            </w:pPr>
            <w:r>
              <w:rPr>
                <w:rFonts w:eastAsia="Times New Roman" w:cs="Times New Roman"/>
                <w:color w:val="000000"/>
                <w:sz w:val="20"/>
                <w:szCs w:val="20"/>
              </w:rPr>
              <w:t>10</w:t>
            </w:r>
          </w:p>
        </w:tc>
        <w:tc>
          <w:tcPr>
            <w:tcW w:w="1694"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Возможность обеспечения непрерывности деятельности регистратора в случае возникновения внештатной ситуации (поломка сервера, повреждение базы данных и т.п.), Возможность обеспечения удаленной работы, в том числе, в условиях неблагоприятной эпидемиологической обстановки</w:t>
            </w:r>
          </w:p>
        </w:tc>
        <w:tc>
          <w:tcPr>
            <w:tcW w:w="1986"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В случае возникновения внештатной ситуации обеспечение непрерывности крайне затруднено. Регистратор не имеет плана действий для подобных случаев. Удаленная работа невозможна или возможна для небольшого числа сотрудников. Имеются технические сложности в предоставлении сотрудникам удаленного доступа.</w:t>
            </w:r>
          </w:p>
        </w:tc>
        <w:tc>
          <w:tcPr>
            <w:tcW w:w="1983"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В случае возникновения внештатной ситуации непрерывность деятельности может быть обеспечена. Регистратор имеет план действий для подобных случаев. Удаленная работа возможна для большинства сотрудников. Имеются технические сложности в предоставлении сотрудникам удаленного доступа.</w:t>
            </w:r>
          </w:p>
        </w:tc>
        <w:tc>
          <w:tcPr>
            <w:tcW w:w="3828" w:type="dxa"/>
            <w:tcBorders>
              <w:bottom w:val="single" w:sz="4" w:space="0" w:color="000000"/>
              <w:right w:val="single" w:sz="4" w:space="0" w:color="000000"/>
            </w:tcBorders>
            <w:shd w:val="clear" w:color="auto" w:fill="auto"/>
            <w:vAlign w:val="bottom"/>
          </w:tcPr>
          <w:p w:rsidR="00575CAF" w:rsidRDefault="00AE0AE3">
            <w:pPr>
              <w:spacing w:after="0" w:line="240" w:lineRule="auto"/>
              <w:rPr>
                <w:rFonts w:ascii="Calibri" w:eastAsia="Times New Roman" w:hAnsi="Calibri" w:cs="Times New Roman"/>
                <w:color w:val="000000"/>
                <w:sz w:val="20"/>
                <w:szCs w:val="20"/>
              </w:rPr>
            </w:pPr>
            <w:r>
              <w:rPr>
                <w:rFonts w:eastAsia="Times New Roman" w:cs="Times New Roman"/>
                <w:color w:val="000000"/>
                <w:sz w:val="20"/>
                <w:szCs w:val="20"/>
              </w:rPr>
              <w:t xml:space="preserve">В случае возникновения внештатной ситуации непрерывность деятельности будет обеспечена благодаря резервным техническим средствам. Регистратор имеет подробный план действий для подобных случаев. Удаленная работа возможна для всех сотрудников. Предоставление сотрудникам удаленного доступа является отлаженной процедурой. </w:t>
            </w:r>
          </w:p>
        </w:tc>
        <w:tc>
          <w:tcPr>
            <w:tcW w:w="849" w:type="dxa"/>
            <w:tcBorders>
              <w:bottom w:val="single" w:sz="4" w:space="0" w:color="000000"/>
              <w:right w:val="single" w:sz="4" w:space="0" w:color="000000"/>
            </w:tcBorders>
            <w:shd w:val="clear" w:color="auto" w:fill="auto"/>
            <w:vAlign w:val="bottom"/>
          </w:tcPr>
          <w:p w:rsidR="00575CAF" w:rsidRDefault="00AE0AE3">
            <w:pPr>
              <w:spacing w:after="0" w:line="240" w:lineRule="auto"/>
              <w:jc w:val="right"/>
              <w:rPr>
                <w:rFonts w:ascii="Calibri" w:eastAsia="Times New Roman" w:hAnsi="Calibri" w:cs="Times New Roman"/>
                <w:color w:val="000000"/>
                <w:sz w:val="20"/>
                <w:szCs w:val="20"/>
              </w:rPr>
            </w:pPr>
            <w:r>
              <w:rPr>
                <w:rFonts w:eastAsia="Times New Roman" w:cs="Times New Roman"/>
                <w:color w:val="000000"/>
                <w:sz w:val="20"/>
                <w:szCs w:val="20"/>
              </w:rPr>
              <w:t>0,05</w:t>
            </w:r>
          </w:p>
        </w:tc>
      </w:tr>
      <w:tr w:rsidR="00575CAF">
        <w:trPr>
          <w:trHeight w:val="1548"/>
        </w:trPr>
        <w:tc>
          <w:tcPr>
            <w:tcW w:w="439" w:type="dxa"/>
            <w:tcBorders>
              <w:left w:val="single" w:sz="4" w:space="0" w:color="000000"/>
              <w:bottom w:val="single" w:sz="4" w:space="0" w:color="000000"/>
              <w:right w:val="single" w:sz="4" w:space="0" w:color="000000"/>
            </w:tcBorders>
            <w:shd w:val="clear" w:color="auto" w:fill="auto"/>
            <w:vAlign w:val="bottom"/>
          </w:tcPr>
          <w:p w:rsidR="00575CAF" w:rsidRDefault="00AE0AE3">
            <w:pPr>
              <w:spacing w:after="0" w:line="240" w:lineRule="auto"/>
              <w:jc w:val="right"/>
              <w:rPr>
                <w:rFonts w:ascii="Calibri" w:eastAsia="Times New Roman" w:hAnsi="Calibri" w:cs="Times New Roman"/>
                <w:color w:val="000000"/>
                <w:sz w:val="20"/>
                <w:szCs w:val="20"/>
              </w:rPr>
            </w:pPr>
            <w:r>
              <w:rPr>
                <w:rFonts w:eastAsia="Times New Roman" w:cs="Times New Roman"/>
                <w:color w:val="000000"/>
                <w:sz w:val="20"/>
                <w:szCs w:val="20"/>
              </w:rPr>
              <w:t>11</w:t>
            </w:r>
          </w:p>
        </w:tc>
        <w:tc>
          <w:tcPr>
            <w:tcW w:w="1694"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Соответствие системы управления рисками (СУР) и системы внутреннего контроля (СВК) установленным требованиям</w:t>
            </w:r>
          </w:p>
        </w:tc>
        <w:tc>
          <w:tcPr>
            <w:tcW w:w="1986"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СУР и СВК не соответствуют требованиям Банка России</w:t>
            </w:r>
          </w:p>
        </w:tc>
        <w:tc>
          <w:tcPr>
            <w:tcW w:w="1983" w:type="dxa"/>
            <w:tcBorders>
              <w:bottom w:val="single" w:sz="4" w:space="0" w:color="000000"/>
              <w:right w:val="single" w:sz="4" w:space="0" w:color="000000"/>
            </w:tcBorders>
            <w:shd w:val="clear" w:color="auto" w:fill="auto"/>
            <w:vAlign w:val="bottom"/>
          </w:tcPr>
          <w:p w:rsidR="00575CAF" w:rsidRDefault="00AE0AE3">
            <w:pPr>
              <w:spacing w:after="0" w:line="240" w:lineRule="auto"/>
              <w:jc w:val="both"/>
              <w:rPr>
                <w:rFonts w:ascii="Calibri" w:eastAsia="Times New Roman" w:hAnsi="Calibri" w:cs="Times New Roman"/>
                <w:color w:val="000000"/>
                <w:sz w:val="20"/>
                <w:szCs w:val="20"/>
              </w:rPr>
            </w:pPr>
            <w:r>
              <w:rPr>
                <w:rFonts w:eastAsia="Times New Roman" w:cs="Times New Roman"/>
                <w:color w:val="000000"/>
                <w:sz w:val="20"/>
                <w:szCs w:val="20"/>
              </w:rPr>
              <w:t>СУР и СВК соответствуют требованиям Банка России, но требуют совершенствования</w:t>
            </w:r>
          </w:p>
        </w:tc>
        <w:tc>
          <w:tcPr>
            <w:tcW w:w="3828" w:type="dxa"/>
            <w:tcBorders>
              <w:bottom w:val="single" w:sz="4" w:space="0" w:color="000000"/>
              <w:right w:val="single" w:sz="4" w:space="0" w:color="000000"/>
            </w:tcBorders>
            <w:shd w:val="clear" w:color="auto" w:fill="auto"/>
            <w:vAlign w:val="bottom"/>
          </w:tcPr>
          <w:p w:rsidR="00575CAF" w:rsidRDefault="00AE0AE3">
            <w:pPr>
              <w:spacing w:after="0" w:line="240" w:lineRule="auto"/>
              <w:rPr>
                <w:rFonts w:ascii="Calibri" w:eastAsia="Times New Roman" w:hAnsi="Calibri" w:cs="Times New Roman"/>
                <w:color w:val="000000"/>
                <w:sz w:val="20"/>
                <w:szCs w:val="20"/>
              </w:rPr>
            </w:pPr>
            <w:r>
              <w:rPr>
                <w:rFonts w:eastAsia="Times New Roman" w:cs="Times New Roman"/>
                <w:color w:val="000000"/>
                <w:sz w:val="20"/>
                <w:szCs w:val="20"/>
              </w:rPr>
              <w:t>СУР и СВК соответствуют требованиям Банка России и доказали свою практическую эффективность, не требуют совершенствования в настоящее время.</w:t>
            </w:r>
          </w:p>
        </w:tc>
        <w:tc>
          <w:tcPr>
            <w:tcW w:w="849" w:type="dxa"/>
            <w:tcBorders>
              <w:bottom w:val="single" w:sz="4" w:space="0" w:color="000000"/>
              <w:right w:val="single" w:sz="4" w:space="0" w:color="000000"/>
            </w:tcBorders>
            <w:shd w:val="clear" w:color="auto" w:fill="auto"/>
            <w:vAlign w:val="bottom"/>
          </w:tcPr>
          <w:p w:rsidR="00575CAF" w:rsidRDefault="00AE0AE3">
            <w:pPr>
              <w:spacing w:after="0" w:line="240" w:lineRule="auto"/>
              <w:jc w:val="right"/>
              <w:rPr>
                <w:rFonts w:ascii="Calibri" w:eastAsia="Times New Roman" w:hAnsi="Calibri" w:cs="Times New Roman"/>
                <w:color w:val="000000"/>
                <w:sz w:val="20"/>
                <w:szCs w:val="20"/>
              </w:rPr>
            </w:pPr>
            <w:r>
              <w:rPr>
                <w:rFonts w:eastAsia="Times New Roman" w:cs="Times New Roman"/>
                <w:color w:val="000000"/>
                <w:sz w:val="20"/>
                <w:szCs w:val="20"/>
              </w:rPr>
              <w:t>0,1</w:t>
            </w:r>
          </w:p>
        </w:tc>
      </w:tr>
    </w:tbl>
    <w:p w:rsidR="00575CAF" w:rsidRDefault="00575CAF">
      <w:pPr>
        <w:ind w:left="-1418" w:firstLine="540"/>
        <w:jc w:val="both"/>
        <w:rPr>
          <w:rFonts w:ascii="Times New Roman" w:eastAsia="Times New Roman" w:hAnsi="Times New Roman" w:cs="Times New Roman"/>
          <w:sz w:val="24"/>
          <w:szCs w:val="24"/>
        </w:rPr>
      </w:pPr>
    </w:p>
    <w:p w:rsidR="00575CAF" w:rsidRDefault="00AE0AE3">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Итоговый рейтинг по предлагаемой методологии рассчитывается как сумма взвешенных оценок по каждому критерию надежности.</w:t>
      </w:r>
    </w:p>
    <w:p w:rsidR="00575CAF" w:rsidRDefault="00AE0AE3">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Предполагаемыми источниками получения информации, необходимой для определения рейтинга надежности регистратора, являются: </w:t>
      </w:r>
    </w:p>
    <w:p w:rsidR="00575CAF" w:rsidRDefault="00AE0AE3">
      <w:pPr>
        <w:pStyle w:val="af2"/>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внутренние документы регистратора;</w:t>
      </w:r>
    </w:p>
    <w:p w:rsidR="00575CAF" w:rsidRDefault="00AE0AE3">
      <w:pPr>
        <w:pStyle w:val="af2"/>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заполненная регистратором анкета; </w:t>
      </w:r>
    </w:p>
    <w:p w:rsidR="00575CAF" w:rsidRDefault="00AE0AE3">
      <w:pPr>
        <w:pStyle w:val="af2"/>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устные опросы сотрудников регистратора;</w:t>
      </w:r>
    </w:p>
    <w:p w:rsidR="00575CAF" w:rsidRDefault="00AE0AE3">
      <w:pPr>
        <w:pStyle w:val="af2"/>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открытые источники информации.</w:t>
      </w:r>
    </w:p>
    <w:p w:rsidR="00575CAF" w:rsidRDefault="00AE0AE3">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Считаем необходимым сделать ряд пояснений по приведенным выше критериям:</w:t>
      </w:r>
    </w:p>
    <w:p w:rsidR="00575CAF" w:rsidRDefault="00AE0AE3">
      <w:pPr>
        <w:pStyle w:val="af2"/>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 собственников регистратора. Собственники регистратора являются </w:t>
      </w:r>
      <w:proofErr w:type="gramStart"/>
      <w:r>
        <w:rPr>
          <w:rFonts w:ascii="Times New Roman" w:eastAsia="Times New Roman" w:hAnsi="Times New Roman" w:cs="Times New Roman"/>
          <w:sz w:val="24"/>
          <w:szCs w:val="24"/>
        </w:rPr>
        <w:t>существенном</w:t>
      </w:r>
      <w:proofErr w:type="gramEnd"/>
      <w:r>
        <w:rPr>
          <w:rFonts w:ascii="Times New Roman" w:eastAsia="Times New Roman" w:hAnsi="Times New Roman" w:cs="Times New Roman"/>
          <w:sz w:val="24"/>
          <w:szCs w:val="24"/>
        </w:rPr>
        <w:t xml:space="preserve"> фактором обеспечении надежности регистратора. Предлагаемый рейтинг является </w:t>
      </w:r>
      <w:proofErr w:type="spellStart"/>
      <w:r>
        <w:rPr>
          <w:rFonts w:ascii="Times New Roman" w:eastAsia="Times New Roman" w:hAnsi="Times New Roman" w:cs="Times New Roman"/>
          <w:sz w:val="24"/>
          <w:szCs w:val="24"/>
        </w:rPr>
        <w:t>некредитным</w:t>
      </w:r>
      <w:proofErr w:type="spellEnd"/>
      <w:r>
        <w:rPr>
          <w:rFonts w:ascii="Times New Roman" w:eastAsia="Times New Roman" w:hAnsi="Times New Roman" w:cs="Times New Roman"/>
          <w:sz w:val="24"/>
          <w:szCs w:val="24"/>
        </w:rPr>
        <w:t xml:space="preserve"> и не направлен на анализ рисков неисполнения регистратором своих финансовых обязательств. </w:t>
      </w:r>
      <w:r w:rsidRPr="00AE0AE3">
        <w:rPr>
          <w:rFonts w:ascii="Times New Roman" w:eastAsia="Times New Roman" w:hAnsi="Times New Roman" w:cs="Times New Roman"/>
          <w:sz w:val="24"/>
          <w:szCs w:val="24"/>
        </w:rPr>
        <w:t>Н</w:t>
      </w:r>
      <w:r>
        <w:rPr>
          <w:rFonts w:ascii="Times New Roman" w:eastAsia="Times New Roman" w:hAnsi="Times New Roman" w:cs="Times New Roman"/>
          <w:sz w:val="24"/>
          <w:szCs w:val="24"/>
        </w:rPr>
        <w:t xml:space="preserve">о представляется целесообразным учитывать возможность получения дополнительной финансовой поддержки, </w:t>
      </w:r>
      <w:proofErr w:type="gramStart"/>
      <w:r>
        <w:rPr>
          <w:rFonts w:ascii="Times New Roman" w:eastAsia="Times New Roman" w:hAnsi="Times New Roman" w:cs="Times New Roman"/>
          <w:sz w:val="24"/>
          <w:szCs w:val="24"/>
        </w:rPr>
        <w:t>что</w:t>
      </w:r>
      <w:proofErr w:type="gramEnd"/>
      <w:r>
        <w:rPr>
          <w:rFonts w:ascii="Times New Roman" w:eastAsia="Times New Roman" w:hAnsi="Times New Roman" w:cs="Times New Roman"/>
          <w:sz w:val="24"/>
          <w:szCs w:val="24"/>
        </w:rPr>
        <w:t xml:space="preserve"> безусловно повышает надежность регистратора.</w:t>
      </w:r>
      <w:r w:rsidRPr="00AE0A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Состав собственников </w:t>
      </w:r>
      <w:proofErr w:type="gramStart"/>
      <w:r>
        <w:rPr>
          <w:rFonts w:ascii="Times New Roman" w:eastAsia="Times New Roman" w:hAnsi="Times New Roman" w:cs="Times New Roman"/>
          <w:sz w:val="24"/>
          <w:szCs w:val="24"/>
        </w:rPr>
        <w:t>анализируется</w:t>
      </w:r>
      <w:proofErr w:type="gramEnd"/>
      <w:r>
        <w:rPr>
          <w:rFonts w:ascii="Times New Roman" w:eastAsia="Times New Roman" w:hAnsi="Times New Roman" w:cs="Times New Roman"/>
          <w:sz w:val="24"/>
          <w:szCs w:val="24"/>
        </w:rPr>
        <w:t xml:space="preserve"> прежде всего в контексте способности и намерения оказать финансовую поддержку организации. Подобный подход используется и в международной практике</w:t>
      </w:r>
      <w:r>
        <w:rPr>
          <w:rStyle w:val="a4"/>
          <w:rFonts w:ascii="Times New Roman" w:eastAsia="Times New Roman" w:hAnsi="Times New Roman" w:cs="Times New Roman"/>
          <w:sz w:val="24"/>
          <w:szCs w:val="24"/>
        </w:rPr>
        <w:footnoteReference w:id="8"/>
      </w:r>
      <w:r>
        <w:rPr>
          <w:rFonts w:ascii="Times New Roman" w:eastAsia="Times New Roman" w:hAnsi="Times New Roman" w:cs="Times New Roman"/>
          <w:sz w:val="24"/>
          <w:szCs w:val="24"/>
        </w:rPr>
        <w:t xml:space="preserve">. Таким образом, наличие в составе собственников, обладающих высокой кредитоспособностью, в том числе представителей крупного бизнеса или лиц, аффилированных с представителями крупного бизнеса, повышает надежность регистратора.  </w:t>
      </w:r>
    </w:p>
    <w:p w:rsidR="00575CAF" w:rsidRDefault="00AE0AE3">
      <w:pPr>
        <w:pStyle w:val="af2"/>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Наличие и качественный состав Совета директоров. </w:t>
      </w:r>
      <w:proofErr w:type="gramStart"/>
      <w:r>
        <w:rPr>
          <w:rFonts w:ascii="Times New Roman" w:eastAsia="Times New Roman" w:hAnsi="Times New Roman" w:cs="Times New Roman"/>
          <w:sz w:val="24"/>
          <w:szCs w:val="24"/>
        </w:rPr>
        <w:t>Регистраторы</w:t>
      </w:r>
      <w:proofErr w:type="gramEnd"/>
      <w:r>
        <w:rPr>
          <w:rFonts w:ascii="Times New Roman" w:eastAsia="Times New Roman" w:hAnsi="Times New Roman" w:cs="Times New Roman"/>
          <w:sz w:val="24"/>
          <w:szCs w:val="24"/>
        </w:rPr>
        <w:t xml:space="preserve"> соответствующие критерию, определенному Положением Банка России о лицензионных требованиях</w:t>
      </w:r>
      <w:r>
        <w:rPr>
          <w:rStyle w:val="a4"/>
          <w:rFonts w:ascii="Times New Roman" w:eastAsia="Times New Roman" w:hAnsi="Times New Roman" w:cs="Times New Roman"/>
          <w:sz w:val="24"/>
          <w:szCs w:val="24"/>
        </w:rPr>
        <w:footnoteReference w:id="9"/>
      </w:r>
      <w:r>
        <w:rPr>
          <w:rFonts w:ascii="Times New Roman" w:eastAsia="Times New Roman" w:hAnsi="Times New Roman" w:cs="Times New Roman"/>
          <w:sz w:val="24"/>
          <w:szCs w:val="24"/>
        </w:rPr>
        <w:t xml:space="preserve"> (количество лиц, которым открыты лицевые счета в реестрах, превышает 1 000 000) должны иметь Совет директоров. Однако</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необходимо отметить высокую роль в корпоративном управлении финансовой организации, признаваемую за Советом директоров Банком России. В Руководстве Банка России для членов Совета директоров (Наблюдательного совета) финансовой организации</w:t>
      </w:r>
      <w:r>
        <w:rPr>
          <w:rStyle w:val="a4"/>
          <w:rFonts w:ascii="Times New Roman" w:eastAsia="Times New Roman" w:hAnsi="Times New Roman" w:cs="Times New Roman"/>
          <w:sz w:val="20"/>
          <w:szCs w:val="20"/>
        </w:rPr>
        <w:footnoteReference w:id="10"/>
      </w:r>
      <w:r>
        <w:rPr>
          <w:rFonts w:ascii="Times New Roman" w:eastAsia="Times New Roman" w:hAnsi="Times New Roman" w:cs="Times New Roman"/>
          <w:sz w:val="24"/>
          <w:szCs w:val="24"/>
        </w:rPr>
        <w:t xml:space="preserve"> указано, что Совет директоров является ключевым элементом корпоративного управления, определяющим </w:t>
      </w:r>
      <w:r>
        <w:rPr>
          <w:rFonts w:ascii="Times New Roman" w:hAnsi="Times New Roman" w:cs="Times New Roman"/>
          <w:color w:val="000000"/>
          <w:sz w:val="24"/>
          <w:szCs w:val="24"/>
        </w:rPr>
        <w:t>стратегические направления деятельности финансовой организации и выступающим своего рода гарантом баланса интересов менеджмента, собственников и иных заинтересованных лиц. Таким образом, само наличие Совета директоров положительно характеризует регистратора. Однако помимо этого, необходимо иметь понимание о компетенциях и репутации самих членов Совета директоров, которые</w:t>
      </w:r>
      <w:r>
        <w:rPr>
          <w:rFonts w:ascii="Times New Roman" w:eastAsia="Times New Roman" w:hAnsi="Times New Roman" w:cs="Times New Roman"/>
          <w:sz w:val="24"/>
          <w:szCs w:val="24"/>
        </w:rPr>
        <w:t xml:space="preserve"> представляются существенным активом регистратора. Помимо обеспечения высокого уровня корпоративного управления и корпоративной культуры, члены Совета директоров способствуют развитию регистратора, защите его интересов, а значит и защите интересов эмитентов, заинтересованных в надежном ведении реестра. </w:t>
      </w:r>
    </w:p>
    <w:p w:rsidR="00575CAF" w:rsidRDefault="00AE0AE3">
      <w:pPr>
        <w:pStyle w:val="af2"/>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Компетентность единоличного исполнительного органа (далее – ЕИО). В связи со спецификой деятельности регистраторов, компетентный руководитель, имеющий опыт работы на рынке ценных бумаг необходим для успешного развития регистратора. Дополнительные компетенции и положительная репутация на рынке повышают важность единоличного исполнительного органа и обеспечивают стабильность в управлении. Подтверждением указанных компетенций являются эмитенты, доверившие ведение реестра регистратору, руководство которым осуществляет </w:t>
      </w:r>
      <w:proofErr w:type="gramStart"/>
      <w:r>
        <w:rPr>
          <w:rFonts w:ascii="Times New Roman" w:eastAsia="Times New Roman" w:hAnsi="Times New Roman" w:cs="Times New Roman"/>
          <w:sz w:val="24"/>
          <w:szCs w:val="24"/>
        </w:rPr>
        <w:t>указанный</w:t>
      </w:r>
      <w:proofErr w:type="gramEnd"/>
      <w:r>
        <w:rPr>
          <w:rFonts w:ascii="Times New Roman" w:eastAsia="Times New Roman" w:hAnsi="Times New Roman" w:cs="Times New Roman"/>
          <w:sz w:val="24"/>
          <w:szCs w:val="24"/>
        </w:rPr>
        <w:t xml:space="preserve"> ЕИО. Кроме этого компетенции ЕИО дополнительно подтверждаются другими участниками рынка ценных бумаг. Наличие ЕИО в составе совместных с другими профессиональными участниками и/или Банком России рабочих групп, комитетов, а также органах управления саморегулируемых организаций участников рынка, комитетов Национального расчетного депозитария, подтверждает компетенции и положительную деловую репутацию ЕИО. Наличие общепризнанных сертификатов, дипломов, свидетельствующих о прохождении процессов повышения квалификации, является дополнительным преимуществом.</w:t>
      </w:r>
    </w:p>
    <w:p w:rsidR="00575CAF" w:rsidRDefault="00AE0AE3">
      <w:pPr>
        <w:pStyle w:val="af2"/>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Качество организационной структуры. В рамках данного критерия анализируется формальная организационная структура регистратора, закрепленная во внутренних документах. Анализируется распределение обязанностей между подразделениями, наличие/</w:t>
      </w:r>
      <w:proofErr w:type="gramStart"/>
      <w:r>
        <w:rPr>
          <w:rFonts w:ascii="Times New Roman" w:eastAsia="Times New Roman" w:hAnsi="Times New Roman" w:cs="Times New Roman"/>
          <w:color w:val="000000"/>
          <w:sz w:val="24"/>
          <w:szCs w:val="24"/>
        </w:rPr>
        <w:t>отсутствии</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дублирующихся</w:t>
      </w:r>
      <w:proofErr w:type="spellEnd"/>
      <w:r>
        <w:rPr>
          <w:rFonts w:ascii="Times New Roman" w:eastAsia="Times New Roman" w:hAnsi="Times New Roman" w:cs="Times New Roman"/>
          <w:color w:val="000000"/>
          <w:sz w:val="24"/>
          <w:szCs w:val="24"/>
        </w:rPr>
        <w:t xml:space="preserve"> полномочий, систем контроля за исполнением распоряжений. Помимо </w:t>
      </w:r>
      <w:proofErr w:type="gramStart"/>
      <w:r>
        <w:rPr>
          <w:rFonts w:ascii="Times New Roman" w:eastAsia="Times New Roman" w:hAnsi="Times New Roman" w:cs="Times New Roman"/>
          <w:color w:val="000000"/>
          <w:sz w:val="24"/>
          <w:szCs w:val="24"/>
        </w:rPr>
        <w:t>вышеизложенного</w:t>
      </w:r>
      <w:proofErr w:type="gramEnd"/>
      <w:r>
        <w:rPr>
          <w:rFonts w:ascii="Times New Roman" w:eastAsia="Times New Roman" w:hAnsi="Times New Roman" w:cs="Times New Roman"/>
          <w:color w:val="000000"/>
          <w:sz w:val="24"/>
          <w:szCs w:val="24"/>
        </w:rPr>
        <w:t xml:space="preserve"> анализируется персональный состав руководителей направлений, обеспечивающих эффективную реализацию организационной структуры в текущей деятельности</w:t>
      </w:r>
    </w:p>
    <w:p w:rsidR="00575CAF" w:rsidRDefault="00AE0AE3">
      <w:pPr>
        <w:pStyle w:val="af2"/>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Финансовая эффективность деятельности. Регистраторы, являясь коммерческими организациями, направлены на извлечение прибыли, предлагаю при этом обслуживаемым эмитентам комфортный уровень цен на оказываемые услуги. Наличие прибыли подтверждает правильную стратегию развития и способность регистратора сбалансировать стоимость своих услуг с возможностями и потребностями эмитентов. Прибыль регистратора является объективно понятным источником для совершенствования деятельности регистратора, привлечения и удержания квалифицированных сотрудников, возможности для модернизации технических средств и иного организационного и технологического развития.</w:t>
      </w:r>
    </w:p>
    <w:p w:rsidR="00575CAF" w:rsidRDefault="00AE0AE3">
      <w:pPr>
        <w:pStyle w:val="af2"/>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Степень диверсификации доходов по видам оказываемых услуг. Справедливо будет отметить особую роль абонентской платы, взимаемой за услуги по ведению реестра, т.к. без договора на ведение реестра не будет поступать ни абонентская плата, но также и иные доходные услуги оказываться не будут. Однако</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диверсификация доходов демонстрирует возможность регистратора наладить эффективные процессы оказания иных услуг, а не только услуг по ведению реестра. В данном случае критерием оценки эффективности таких процессов можно считать готовность эмитентов оплачивать услуги, оказание которых не включено в абонентскую плату. </w:t>
      </w:r>
    </w:p>
    <w:p w:rsidR="00575CAF" w:rsidRDefault="00AE0AE3">
      <w:pPr>
        <w:pStyle w:val="af2"/>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Устойчивость клиентской базы (эмитенты). Регистратор, как поставщик услуги, существенно зависит от обслуживаемой клиентской базы. Но необходимо отметить ее двойственную структуру. Клиентами регистраторов являются как компании – эмитенты акций, так  и лица, зарегистрированные в реестрах владельцев ценных бумаг таких компаний. Однако с эмитентами регистраторы взаимодействуют на основании договоров на ведение реестра, которые фиксируют права и обязанности сторон и могут быть расторгнуты в одностороннем порядке, в случае несогласия с условиями. С зарегистрированными лицами же у регистраторов нет договорных отношений и, в общем случае (не являясь контролирующим собственником эмитента), такое лицо не может повлиять на выбор регистратора эмитентом. Взаимодействие осуществляется в соответствии с действующим законодательством. При этом количество клиентов-эмитентов у регистраторов измеряется тысячами, а количество клиентов-зарегистрированных лиц – может доходить до нескольких миллионов. В то же время, доходы от услуг, оказываемых зарегистрированным лицам, составляют существенную часть в общем доходе регистратора. Так или иначе, наличие устойчивых взаимосвязей с клиентами (эмитентами) является необходимым условием для успешной работы регистратора.</w:t>
      </w:r>
    </w:p>
    <w:p w:rsidR="00575CAF" w:rsidRDefault="00AE0AE3">
      <w:pPr>
        <w:pStyle w:val="af2"/>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Качество электронных сервисов (личный кабинет эмитента, личный кабинет акционера, электронное голосование на общих собраниях акционеров), предоставляемых эмитентам и зарегистрированным лицам. Текущая эпидемиологическая обстановка обуславливает необходимость наличия развитых электронных сервисов. В перспективе роль таких сервисов, полагаем, будет только расти.</w:t>
      </w:r>
    </w:p>
    <w:p w:rsidR="00575CAF" w:rsidRDefault="00AE0AE3">
      <w:pPr>
        <w:pStyle w:val="af2"/>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Функциональность и гибкость системы ведения реестра. </w:t>
      </w:r>
      <w:proofErr w:type="gramStart"/>
      <w:r>
        <w:rPr>
          <w:rFonts w:ascii="Times New Roman" w:eastAsia="Times New Roman" w:hAnsi="Times New Roman" w:cs="Times New Roman"/>
          <w:sz w:val="24"/>
          <w:szCs w:val="24"/>
        </w:rPr>
        <w:t>Программное обеспечение, используемое для ведения реестра является</w:t>
      </w:r>
      <w:proofErr w:type="gramEnd"/>
      <w:r>
        <w:rPr>
          <w:rFonts w:ascii="Times New Roman" w:eastAsia="Times New Roman" w:hAnsi="Times New Roman" w:cs="Times New Roman"/>
          <w:sz w:val="24"/>
          <w:szCs w:val="24"/>
        </w:rPr>
        <w:t xml:space="preserve"> одной из ключевых составляющих эффективной деятельности регистратора. Нельзя однозначно сделать вывод о том, какая система предпочтительнее: собственная или разработанная третьими лицами. Необходимо, однако, чтобы такая система обеспечивала надежный учет прав и в случае необходимости могла быть оперативно модифицирована.</w:t>
      </w:r>
    </w:p>
    <w:p w:rsidR="00575CAF" w:rsidRDefault="00AE0AE3">
      <w:pPr>
        <w:pStyle w:val="af2"/>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обеспечения непрерывности деятельности регистратора в случае возникновения внештатной ситуации (поломка сервера, повреждение базы данных и т.п.), возможность обеспечения удаленной работы, в том числе, в условиях неблагоприятной эпидемиологической обстановки. В соответствии с Методическими рекомендациями Банка России</w:t>
      </w:r>
      <w:r>
        <w:rPr>
          <w:rStyle w:val="a4"/>
          <w:rFonts w:ascii="Times New Roman" w:eastAsia="Times New Roman" w:hAnsi="Times New Roman" w:cs="Times New Roman"/>
          <w:sz w:val="20"/>
          <w:szCs w:val="20"/>
        </w:rPr>
        <w:footnoteReference w:id="11"/>
      </w:r>
      <w:r>
        <w:rPr>
          <w:rFonts w:ascii="Times New Roman" w:eastAsia="Times New Roman" w:hAnsi="Times New Roman" w:cs="Times New Roman"/>
          <w:sz w:val="24"/>
          <w:szCs w:val="24"/>
        </w:rPr>
        <w:t xml:space="preserve"> финансовым организациям рекомендуется иметь план обеспечения непрерывности деятельности и (или) восстановления деятельности финансовой организации в случае возникновения чрезвычайных ситуаций. Наличие плана, а также его практическая реализация повышают надежность регистратора. Данный критерий также включает в себя возможность обеспечения удаленной работы сотрудников регистратора, что в принципе можно отнести к плану обеспечения непрерывности деятельности, но было выделено отдельно, т.к. в отличие от предполагаемых причин, препятствующих обеспечению непрерывности, переход сотрудников на удаленную работу имел место в связи с пандемией </w:t>
      </w:r>
      <w:proofErr w:type="spellStart"/>
      <w:r>
        <w:rPr>
          <w:rFonts w:ascii="Times New Roman" w:eastAsia="Times New Roman" w:hAnsi="Times New Roman" w:cs="Times New Roman"/>
          <w:sz w:val="24"/>
          <w:szCs w:val="24"/>
        </w:rPr>
        <w:t>коронавируса</w:t>
      </w:r>
      <w:proofErr w:type="spellEnd"/>
      <w:r>
        <w:rPr>
          <w:rFonts w:ascii="Times New Roman" w:eastAsia="Times New Roman" w:hAnsi="Times New Roman" w:cs="Times New Roman"/>
          <w:sz w:val="24"/>
          <w:szCs w:val="24"/>
        </w:rPr>
        <w:t>. Соответственно, регистраторы уже имеют практический опыт перевода процессов в режим удаленной работы сотрудников на длительное время (данный факт следует отметить особо, т.к. имеется существенная разница между функционированием в нестандартном режиме один-два рабочих дня или таковым в течени</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нескольких месяцев).</w:t>
      </w:r>
    </w:p>
    <w:p w:rsidR="00575CAF" w:rsidRDefault="00AE0AE3">
      <w:pPr>
        <w:pStyle w:val="af2"/>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Соответствие системы управления рисками (СУР) и системы внутреннего контроля (СВК) установленным требованиям</w:t>
      </w:r>
      <w:r>
        <w:rPr>
          <w:rFonts w:ascii="Times New Roman" w:eastAsia="Times New Roman" w:hAnsi="Times New Roman" w:cs="Times New Roman"/>
          <w:sz w:val="24"/>
          <w:szCs w:val="24"/>
        </w:rPr>
        <w:t>. К 1 января 2021 г. профессиональные участники обязаны организовать систему внутреннего контроля (СВК) и систему управления рисками (СУР)</w:t>
      </w:r>
      <w:r>
        <w:rPr>
          <w:rStyle w:val="a4"/>
          <w:rFonts w:ascii="Times New Roman" w:eastAsia="Times New Roman" w:hAnsi="Times New Roman" w:cs="Times New Roman"/>
          <w:sz w:val="24"/>
          <w:szCs w:val="24"/>
        </w:rPr>
        <w:footnoteReference w:id="12"/>
      </w:r>
      <w:r>
        <w:rPr>
          <w:rFonts w:ascii="Times New Roman" w:eastAsia="Times New Roman" w:hAnsi="Times New Roman" w:cs="Times New Roman"/>
          <w:sz w:val="24"/>
          <w:szCs w:val="24"/>
        </w:rPr>
        <w:t>. Указанные системы оказывают непосредственное влияние на надежность регистратора. В соответствии с данным критерием оценивается соответствие СВК и СУР требованиям Банка России, стандартам профессиональных ассоциаций и международных организаций в этой сфере, а также практическая эффективность организованных систем.</w:t>
      </w:r>
    </w:p>
    <w:p w:rsidR="00575CAF" w:rsidRDefault="00AE0AE3">
      <w:pPr>
        <w:ind w:left="70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итогам проведенной оценки осуществляется присвоение рейтинга надежности регистратора. В соответствии со сложившейся практикой присвоения аналогичных рейтингов, полагаем целесообразным определить следующие значения рейтинга надежности</w:t>
      </w:r>
    </w:p>
    <w:tbl>
      <w:tblPr>
        <w:tblStyle w:val="af6"/>
        <w:tblW w:w="6655" w:type="dxa"/>
        <w:tblInd w:w="708" w:type="dxa"/>
        <w:tblLook w:val="04A0" w:firstRow="1" w:lastRow="0" w:firstColumn="1" w:lastColumn="0" w:noHBand="0" w:noVBand="1"/>
      </w:tblPr>
      <w:tblGrid>
        <w:gridCol w:w="3318"/>
        <w:gridCol w:w="3337"/>
      </w:tblGrid>
      <w:tr w:rsidR="00575CAF">
        <w:tc>
          <w:tcPr>
            <w:tcW w:w="3318" w:type="dxa"/>
          </w:tcPr>
          <w:p w:rsidR="00575CAF" w:rsidRDefault="00AE0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Рейтинг надежности</w:t>
            </w:r>
          </w:p>
        </w:tc>
        <w:tc>
          <w:tcPr>
            <w:tcW w:w="3336" w:type="dxa"/>
          </w:tcPr>
          <w:p w:rsidR="00575CAF" w:rsidRDefault="00AE0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баллов в соответствии с Матрицей надежности</w:t>
            </w:r>
          </w:p>
        </w:tc>
      </w:tr>
      <w:tr w:rsidR="00575CAF">
        <w:tc>
          <w:tcPr>
            <w:tcW w:w="3318" w:type="dxa"/>
          </w:tcPr>
          <w:p w:rsidR="00575CAF" w:rsidRDefault="00AE0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ААА</w:t>
            </w:r>
          </w:p>
        </w:tc>
        <w:tc>
          <w:tcPr>
            <w:tcW w:w="3336" w:type="dxa"/>
          </w:tcPr>
          <w:p w:rsidR="00575CAF" w:rsidRDefault="00AE0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90 до 100</w:t>
            </w:r>
          </w:p>
        </w:tc>
      </w:tr>
      <w:tr w:rsidR="00575CAF">
        <w:tc>
          <w:tcPr>
            <w:tcW w:w="3318" w:type="dxa"/>
          </w:tcPr>
          <w:p w:rsidR="00575CAF" w:rsidRDefault="00AE0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АА</w:t>
            </w:r>
          </w:p>
        </w:tc>
        <w:tc>
          <w:tcPr>
            <w:tcW w:w="3336" w:type="dxa"/>
          </w:tcPr>
          <w:p w:rsidR="00575CAF" w:rsidRDefault="00AE0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80 до 90</w:t>
            </w:r>
          </w:p>
        </w:tc>
      </w:tr>
      <w:tr w:rsidR="00575CAF">
        <w:tc>
          <w:tcPr>
            <w:tcW w:w="3318" w:type="dxa"/>
          </w:tcPr>
          <w:p w:rsidR="00575CAF" w:rsidRDefault="00AE0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336" w:type="dxa"/>
          </w:tcPr>
          <w:p w:rsidR="00575CAF" w:rsidRDefault="00AE0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70 до 80</w:t>
            </w:r>
          </w:p>
        </w:tc>
      </w:tr>
      <w:tr w:rsidR="00575CAF">
        <w:tc>
          <w:tcPr>
            <w:tcW w:w="3318" w:type="dxa"/>
          </w:tcPr>
          <w:p w:rsidR="00575CAF" w:rsidRDefault="00AE0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ВВВ</w:t>
            </w:r>
          </w:p>
        </w:tc>
        <w:tc>
          <w:tcPr>
            <w:tcW w:w="3336" w:type="dxa"/>
          </w:tcPr>
          <w:p w:rsidR="00575CAF" w:rsidRDefault="00AE0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60 до 70</w:t>
            </w:r>
          </w:p>
        </w:tc>
      </w:tr>
      <w:tr w:rsidR="00575CAF">
        <w:tc>
          <w:tcPr>
            <w:tcW w:w="3318" w:type="dxa"/>
          </w:tcPr>
          <w:p w:rsidR="00575CAF" w:rsidRDefault="00AE0AE3">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ВВ</w:t>
            </w:r>
            <w:proofErr w:type="gramEnd"/>
          </w:p>
        </w:tc>
        <w:tc>
          <w:tcPr>
            <w:tcW w:w="3336" w:type="dxa"/>
          </w:tcPr>
          <w:p w:rsidR="00575CAF" w:rsidRDefault="00AE0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40 до 60</w:t>
            </w:r>
          </w:p>
        </w:tc>
      </w:tr>
      <w:tr w:rsidR="00575CAF">
        <w:tc>
          <w:tcPr>
            <w:tcW w:w="3318" w:type="dxa"/>
          </w:tcPr>
          <w:p w:rsidR="00575CAF" w:rsidRDefault="00AE0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336" w:type="dxa"/>
          </w:tcPr>
          <w:p w:rsidR="00575CAF" w:rsidRDefault="00AE0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30 до 40</w:t>
            </w:r>
          </w:p>
        </w:tc>
      </w:tr>
      <w:tr w:rsidR="00575CAF">
        <w:tc>
          <w:tcPr>
            <w:tcW w:w="3318" w:type="dxa"/>
          </w:tcPr>
          <w:p w:rsidR="00575CAF" w:rsidRDefault="00AE0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ССС</w:t>
            </w:r>
          </w:p>
        </w:tc>
        <w:tc>
          <w:tcPr>
            <w:tcW w:w="3336" w:type="dxa"/>
          </w:tcPr>
          <w:p w:rsidR="00575CAF" w:rsidRDefault="00AE0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20 до 30</w:t>
            </w:r>
          </w:p>
        </w:tc>
      </w:tr>
      <w:tr w:rsidR="00575CAF">
        <w:tc>
          <w:tcPr>
            <w:tcW w:w="3318" w:type="dxa"/>
          </w:tcPr>
          <w:p w:rsidR="00575CAF" w:rsidRDefault="00AE0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СС</w:t>
            </w:r>
          </w:p>
        </w:tc>
        <w:tc>
          <w:tcPr>
            <w:tcW w:w="3336" w:type="dxa"/>
          </w:tcPr>
          <w:p w:rsidR="00575CAF" w:rsidRDefault="00AE0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10 до 20</w:t>
            </w:r>
          </w:p>
        </w:tc>
      </w:tr>
      <w:tr w:rsidR="00575CAF">
        <w:tc>
          <w:tcPr>
            <w:tcW w:w="3318" w:type="dxa"/>
          </w:tcPr>
          <w:p w:rsidR="00575CAF" w:rsidRDefault="00AE0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
        </w:tc>
        <w:tc>
          <w:tcPr>
            <w:tcW w:w="3336" w:type="dxa"/>
          </w:tcPr>
          <w:p w:rsidR="00575CAF" w:rsidRDefault="00AE0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0 до 10</w:t>
            </w:r>
          </w:p>
        </w:tc>
      </w:tr>
    </w:tbl>
    <w:p w:rsidR="00575CAF" w:rsidRDefault="00575CAF">
      <w:pPr>
        <w:ind w:left="708" w:firstLine="708"/>
        <w:jc w:val="both"/>
        <w:rPr>
          <w:rFonts w:ascii="Times New Roman" w:eastAsia="Times New Roman" w:hAnsi="Times New Roman" w:cs="Times New Roman"/>
          <w:sz w:val="24"/>
          <w:szCs w:val="24"/>
        </w:rPr>
      </w:pPr>
    </w:p>
    <w:p w:rsidR="00575CAF" w:rsidRDefault="00AE0AE3">
      <w:pPr>
        <w:ind w:left="70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Предлагаемая методология основывается на качественных критериях и на наш взгляд, позволяет оценивать уровень надежности регистраторов, однако при ее применении необходимо учитывать ряд моментов.</w:t>
      </w:r>
    </w:p>
    <w:p w:rsidR="00575CAF" w:rsidRDefault="00AE0AE3">
      <w:pPr>
        <w:ind w:left="70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Большая часть информации, необходимой для составления рейтинга, не раскрывается регистраторами, являющимися непубличным</w:t>
      </w:r>
      <w:proofErr w:type="gramStart"/>
      <w:r>
        <w:rPr>
          <w:rFonts w:ascii="Times New Roman" w:eastAsia="Times New Roman" w:hAnsi="Times New Roman" w:cs="Times New Roman"/>
          <w:sz w:val="24"/>
          <w:szCs w:val="24"/>
        </w:rPr>
        <w:t>и АО и</w:t>
      </w:r>
      <w:proofErr w:type="gramEnd"/>
      <w:r>
        <w:rPr>
          <w:rFonts w:ascii="Times New Roman" w:eastAsia="Times New Roman" w:hAnsi="Times New Roman" w:cs="Times New Roman"/>
          <w:sz w:val="24"/>
          <w:szCs w:val="24"/>
        </w:rPr>
        <w:t xml:space="preserve">ли обществами с ограниченной ответственностью. Поэтому единственным источником информации может быть непосредственно сам регистратор, являющийся заинтересованным лицом. Поэтому при построении Матрицы надежности необходимо проявлять должную осмотрительность при учете предоставленных сведений. </w:t>
      </w:r>
    </w:p>
    <w:p w:rsidR="00575CAF" w:rsidRDefault="00AE0AE3">
      <w:pPr>
        <w:ind w:left="70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Также необходимо отметить, что для корректного анализа информации предоставляемой для расчета рейтинга необходимо наличие компетентных экспертов, имеющих опыт работы на рынке ценных бумаг. Предлагаемый рейтинг надежности можно рассматривать в качестве дополнительного элемента в системе </w:t>
      </w:r>
      <w:proofErr w:type="spellStart"/>
      <w:r>
        <w:rPr>
          <w:rFonts w:ascii="Times New Roman" w:eastAsia="Times New Roman" w:hAnsi="Times New Roman" w:cs="Times New Roman"/>
          <w:sz w:val="24"/>
          <w:szCs w:val="24"/>
        </w:rPr>
        <w:t>рейтингования</w:t>
      </w:r>
      <w:proofErr w:type="spellEnd"/>
      <w:r>
        <w:rPr>
          <w:rFonts w:ascii="Times New Roman" w:eastAsia="Times New Roman" w:hAnsi="Times New Roman" w:cs="Times New Roman"/>
          <w:sz w:val="24"/>
          <w:szCs w:val="24"/>
        </w:rPr>
        <w:t xml:space="preserve"> развиваемой ПАРТАД во взаимодействии с СРО НФА</w:t>
      </w:r>
      <w:r>
        <w:rPr>
          <w:rStyle w:val="a4"/>
          <w:rFonts w:ascii="Times New Roman" w:eastAsia="Times New Roman" w:hAnsi="Times New Roman" w:cs="Times New Roman"/>
          <w:sz w:val="20"/>
          <w:szCs w:val="20"/>
        </w:rPr>
        <w:footnoteReference w:id="13"/>
      </w:r>
      <w:r>
        <w:rPr>
          <w:rFonts w:ascii="Times New Roman" w:eastAsia="Times New Roman" w:hAnsi="Times New Roman" w:cs="Times New Roman"/>
          <w:sz w:val="24"/>
          <w:szCs w:val="24"/>
        </w:rPr>
        <w:t xml:space="preserve">. </w:t>
      </w:r>
    </w:p>
    <w:p w:rsidR="00575CAF" w:rsidRDefault="00575CAF">
      <w:pPr>
        <w:ind w:firstLine="540"/>
        <w:jc w:val="both"/>
        <w:rPr>
          <w:rFonts w:ascii="Times New Roman" w:eastAsia="Times New Roman" w:hAnsi="Times New Roman" w:cs="Times New Roman"/>
          <w:sz w:val="24"/>
          <w:szCs w:val="24"/>
        </w:rPr>
      </w:pPr>
    </w:p>
    <w:p w:rsidR="00575CAF" w:rsidRDefault="00575CAF">
      <w:pPr>
        <w:ind w:firstLine="540"/>
        <w:jc w:val="both"/>
        <w:rPr>
          <w:rFonts w:ascii="Times New Roman" w:eastAsia="Times New Roman" w:hAnsi="Times New Roman" w:cs="Times New Roman"/>
          <w:sz w:val="24"/>
          <w:szCs w:val="24"/>
        </w:rPr>
      </w:pPr>
    </w:p>
    <w:p w:rsidR="00575CAF" w:rsidRDefault="00AE0AE3">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75CAF" w:rsidRDefault="00575CAF">
      <w:pPr>
        <w:ind w:firstLine="540"/>
        <w:jc w:val="both"/>
        <w:rPr>
          <w:rFonts w:ascii="Times New Roman" w:eastAsia="Times New Roman" w:hAnsi="Times New Roman" w:cs="Times New Roman"/>
          <w:sz w:val="24"/>
          <w:szCs w:val="24"/>
        </w:rPr>
      </w:pPr>
    </w:p>
    <w:p w:rsidR="00575CAF" w:rsidRDefault="00575CAF"/>
    <w:p w:rsidR="00575CAF" w:rsidRDefault="00575CAF"/>
    <w:sectPr w:rsidR="00575CAF">
      <w:pgSz w:w="11906" w:h="16838"/>
      <w:pgMar w:top="1134" w:right="850" w:bottom="1134" w:left="567"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59C" w:rsidRDefault="00AE0AE3">
      <w:pPr>
        <w:spacing w:after="0" w:line="240" w:lineRule="auto"/>
      </w:pPr>
      <w:r>
        <w:separator/>
      </w:r>
    </w:p>
  </w:endnote>
  <w:endnote w:type="continuationSeparator" w:id="0">
    <w:p w:rsidR="00E9659C" w:rsidRDefault="00AE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PT Sans">
    <w:altName w:val="Times New Roman"/>
    <w:charset w:val="CC"/>
    <w:family w:val="roman"/>
    <w:pitch w:val="variable"/>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CAF" w:rsidRDefault="00AE0AE3">
      <w:pPr>
        <w:rPr>
          <w:sz w:val="12"/>
        </w:rPr>
      </w:pPr>
      <w:r>
        <w:separator/>
      </w:r>
    </w:p>
  </w:footnote>
  <w:footnote w:type="continuationSeparator" w:id="0">
    <w:p w:rsidR="00575CAF" w:rsidRDefault="00AE0AE3">
      <w:pPr>
        <w:rPr>
          <w:sz w:val="12"/>
        </w:rPr>
      </w:pPr>
      <w:r>
        <w:continuationSeparator/>
      </w:r>
    </w:p>
  </w:footnote>
  <w:footnote w:id="1">
    <w:p w:rsidR="00575CAF" w:rsidRDefault="00AE0AE3">
      <w:pPr>
        <w:pStyle w:val="af1"/>
        <w:rPr>
          <w:rFonts w:ascii="Times New Roman" w:hAnsi="Times New Roman" w:cs="Times New Roman"/>
        </w:rPr>
      </w:pPr>
      <w:r>
        <w:rPr>
          <w:rStyle w:val="a9"/>
        </w:rPr>
        <w:footnoteRef/>
      </w:r>
      <w:r>
        <w:rPr>
          <w:rFonts w:ascii="Times New Roman" w:hAnsi="Times New Roman" w:cs="Times New Roman"/>
        </w:rPr>
        <w:t xml:space="preserve"> П.1, ст. 8 Федерального закона от 22.04.1996 № 39-ФЗ «О рынке ценных бумаг» </w:t>
      </w:r>
    </w:p>
  </w:footnote>
  <w:footnote w:id="2">
    <w:p w:rsidR="00575CAF" w:rsidRDefault="00AE0AE3">
      <w:pPr>
        <w:pStyle w:val="af1"/>
        <w:rPr>
          <w:rFonts w:ascii="Times New Roman" w:hAnsi="Times New Roman" w:cs="Times New Roman"/>
        </w:rPr>
      </w:pPr>
      <w:r>
        <w:rPr>
          <w:rStyle w:val="a9"/>
        </w:rPr>
        <w:footnoteRef/>
      </w:r>
      <w:r>
        <w:rPr>
          <w:rFonts w:ascii="Times New Roman" w:hAnsi="Times New Roman" w:cs="Times New Roman"/>
        </w:rPr>
        <w:t xml:space="preserve"> </w:t>
      </w:r>
      <w:hyperlink r:id="rId1">
        <w:r>
          <w:rPr>
            <w:rFonts w:ascii="Times New Roman" w:hAnsi="Times New Roman" w:cs="Times New Roman"/>
          </w:rPr>
          <w:t>https://www.cbr.ru/securities_market/registries/</w:t>
        </w:r>
      </w:hyperlink>
      <w:r>
        <w:rPr>
          <w:rFonts w:ascii="Times New Roman" w:hAnsi="Times New Roman" w:cs="Times New Roman"/>
        </w:rPr>
        <w:t xml:space="preserve">  </w:t>
      </w:r>
    </w:p>
  </w:footnote>
  <w:footnote w:id="3">
    <w:p w:rsidR="00575CAF" w:rsidRDefault="00AE0AE3">
      <w:pPr>
        <w:pStyle w:val="af1"/>
      </w:pPr>
      <w:r>
        <w:rPr>
          <w:rStyle w:val="a9"/>
        </w:rPr>
        <w:footnoteRef/>
      </w:r>
      <w:r>
        <w:rPr>
          <w:rFonts w:ascii="Times New Roman" w:hAnsi="Times New Roman" w:cs="Times New Roman"/>
        </w:rPr>
        <w:t xml:space="preserve"> Ст. 28 Федерального закона от 22.04.1996 № 39-ФЗ «О рынке ценных бумаг»</w:t>
      </w:r>
    </w:p>
  </w:footnote>
  <w:footnote w:id="4">
    <w:p w:rsidR="00575CAF" w:rsidRDefault="00AE0AE3">
      <w:pPr>
        <w:pStyle w:val="af1"/>
        <w:rPr>
          <w:rFonts w:ascii="Times New Roman" w:hAnsi="Times New Roman" w:cs="Times New Roman"/>
          <w:lang w:val="en-US"/>
        </w:rPr>
      </w:pPr>
      <w:r>
        <w:rPr>
          <w:rStyle w:val="a9"/>
        </w:rPr>
        <w:footnoteRef/>
      </w:r>
      <w:r>
        <w:rPr>
          <w:rFonts w:ascii="Times New Roman" w:hAnsi="Times New Roman" w:cs="Times New Roman"/>
        </w:rPr>
        <w:t xml:space="preserve"> Критерии рейтинга небанковских финансовых институтов (англ. </w:t>
      </w:r>
      <w:r>
        <w:rPr>
          <w:rFonts w:ascii="Times New Roman" w:hAnsi="Times New Roman" w:cs="Times New Roman"/>
          <w:lang w:val="en-US"/>
        </w:rPr>
        <w:t xml:space="preserve">Non-Bank Financial Institutions Rating Criteria) </w:t>
      </w:r>
      <w:r w:rsidR="006A2FC2">
        <w:fldChar w:fldCharType="begin"/>
      </w:r>
      <w:r w:rsidR="006A2FC2" w:rsidRPr="006A2FC2">
        <w:rPr>
          <w:lang w:val="en-US"/>
        </w:rPr>
        <w:instrText xml:space="preserve"> HYPERLINK "https://www.fitchratings.com/research/non-bank-financial-institutions/non-bank-financial-institutions-rating-criter</w:instrText>
      </w:r>
      <w:r w:rsidR="006A2FC2" w:rsidRPr="006A2FC2">
        <w:rPr>
          <w:lang w:val="en-US"/>
        </w:rPr>
        <w:instrText xml:space="preserve">ia-28-02-2020" \h </w:instrText>
      </w:r>
      <w:r w:rsidR="006A2FC2">
        <w:fldChar w:fldCharType="separate"/>
      </w:r>
      <w:r>
        <w:rPr>
          <w:rFonts w:ascii="Times New Roman" w:hAnsi="Times New Roman" w:cs="Times New Roman"/>
          <w:lang w:val="en-US"/>
        </w:rPr>
        <w:t>https://www.fitchratings.com/research/non-bank-financial-institutions/non-bank-financial-institutions-rating-criteria-28-02-2020</w:t>
      </w:r>
      <w:r w:rsidR="006A2FC2">
        <w:rPr>
          <w:rFonts w:ascii="Times New Roman" w:hAnsi="Times New Roman" w:cs="Times New Roman"/>
          <w:lang w:val="en-US"/>
        </w:rPr>
        <w:fldChar w:fldCharType="end"/>
      </w:r>
      <w:r>
        <w:rPr>
          <w:rFonts w:ascii="Times New Roman" w:hAnsi="Times New Roman" w:cs="Times New Roman"/>
          <w:lang w:val="en-US"/>
        </w:rPr>
        <w:t xml:space="preserve">     </w:t>
      </w:r>
    </w:p>
  </w:footnote>
  <w:footnote w:id="5">
    <w:p w:rsidR="00575CAF" w:rsidRDefault="00AE0AE3">
      <w:pPr>
        <w:pStyle w:val="af1"/>
        <w:rPr>
          <w:rFonts w:ascii="Times New Roman" w:hAnsi="Times New Roman" w:cs="Times New Roman"/>
          <w:lang w:val="en-US"/>
        </w:rPr>
      </w:pPr>
      <w:r>
        <w:rPr>
          <w:rStyle w:val="a9"/>
        </w:rPr>
        <w:footnoteRef/>
      </w:r>
      <w:r>
        <w:rPr>
          <w:rFonts w:ascii="Times New Roman" w:hAnsi="Times New Roman" w:cs="Times New Roman"/>
        </w:rPr>
        <w:t xml:space="preserve"> Методология рейтинга небанковских финансовых институтов (англ. </w:t>
      </w:r>
      <w:r>
        <w:rPr>
          <w:rFonts w:ascii="Times New Roman" w:hAnsi="Times New Roman" w:cs="Times New Roman"/>
          <w:lang w:val="en-US"/>
        </w:rPr>
        <w:t xml:space="preserve">Nonbank Financial Institutions Rating Methodology) </w:t>
      </w:r>
      <w:r w:rsidR="006A2FC2">
        <w:fldChar w:fldCharType="begin"/>
      </w:r>
      <w:r w:rsidR="006A2FC2" w:rsidRPr="006A2FC2">
        <w:rPr>
          <w:lang w:val="en-US"/>
        </w:rPr>
        <w:instrText xml:space="preserve"> HYPERLINK "https://www.standardandpoors.com/en_US/web/guest/article/-/view/type/HTML/id/2370579" \h </w:instrText>
      </w:r>
      <w:r w:rsidR="006A2FC2">
        <w:fldChar w:fldCharType="separate"/>
      </w:r>
      <w:r>
        <w:rPr>
          <w:rFonts w:ascii="Times New Roman" w:hAnsi="Times New Roman" w:cs="Times New Roman"/>
          <w:lang w:val="en-US"/>
        </w:rPr>
        <w:t>https://www.standardandpoors.com/en_US/web/guest/article/-/view/type/HTML/id/2370579</w:t>
      </w:r>
      <w:r w:rsidR="006A2FC2">
        <w:rPr>
          <w:rFonts w:ascii="Times New Roman" w:hAnsi="Times New Roman" w:cs="Times New Roman"/>
          <w:lang w:val="en-US"/>
        </w:rPr>
        <w:fldChar w:fldCharType="end"/>
      </w:r>
      <w:r>
        <w:rPr>
          <w:rFonts w:ascii="Times New Roman" w:hAnsi="Times New Roman" w:cs="Times New Roman"/>
          <w:lang w:val="en-US"/>
        </w:rPr>
        <w:t xml:space="preserve"> </w:t>
      </w:r>
    </w:p>
  </w:footnote>
  <w:footnote w:id="6">
    <w:p w:rsidR="00575CAF" w:rsidRDefault="00AE0AE3">
      <w:pPr>
        <w:pStyle w:val="af1"/>
        <w:rPr>
          <w:rFonts w:ascii="Times New Roman" w:hAnsi="Times New Roman" w:cs="Times New Roman"/>
        </w:rPr>
      </w:pPr>
      <w:r>
        <w:rPr>
          <w:rStyle w:val="a9"/>
        </w:rPr>
        <w:footnoteRef/>
      </w:r>
      <w:r>
        <w:rPr>
          <w:rFonts w:ascii="Times New Roman" w:hAnsi="Times New Roman" w:cs="Times New Roman"/>
        </w:rPr>
        <w:t xml:space="preserve"> АРФИ. Оценка восприятия качества услуг регистраторов российскими компаниями-эмитентами на основе методологии </w:t>
      </w:r>
      <w:r>
        <w:rPr>
          <w:rFonts w:ascii="Times New Roman" w:hAnsi="Times New Roman" w:cs="Times New Roman"/>
          <w:lang w:val="en-US"/>
        </w:rPr>
        <w:t>C</w:t>
      </w:r>
      <w:proofErr w:type="spellStart"/>
      <w:r>
        <w:rPr>
          <w:rFonts w:ascii="Times New Roman" w:hAnsi="Times New Roman" w:cs="Times New Roman"/>
        </w:rPr>
        <w:t>ustomer</w:t>
      </w:r>
      <w:proofErr w:type="spellEnd"/>
      <w:r>
        <w:rPr>
          <w:rFonts w:ascii="Times New Roman" w:hAnsi="Times New Roman" w:cs="Times New Roman"/>
        </w:rPr>
        <w:t xml:space="preserve"> </w:t>
      </w:r>
      <w:r>
        <w:rPr>
          <w:rFonts w:ascii="Times New Roman" w:hAnsi="Times New Roman" w:cs="Times New Roman"/>
          <w:lang w:val="en-US"/>
        </w:rPr>
        <w:t>S</w:t>
      </w:r>
      <w:proofErr w:type="spellStart"/>
      <w:r>
        <w:rPr>
          <w:rFonts w:ascii="Times New Roman" w:hAnsi="Times New Roman" w:cs="Times New Roman"/>
        </w:rPr>
        <w:t>atisfaction</w:t>
      </w:r>
      <w:proofErr w:type="spellEnd"/>
      <w:r>
        <w:rPr>
          <w:rFonts w:ascii="Times New Roman" w:hAnsi="Times New Roman" w:cs="Times New Roman"/>
        </w:rPr>
        <w:t xml:space="preserve"> </w:t>
      </w:r>
      <w:r>
        <w:rPr>
          <w:rFonts w:ascii="Times New Roman" w:hAnsi="Times New Roman" w:cs="Times New Roman"/>
          <w:lang w:val="en-US"/>
        </w:rPr>
        <w:t>I</w:t>
      </w:r>
      <w:proofErr w:type="spellStart"/>
      <w:r>
        <w:rPr>
          <w:rFonts w:ascii="Times New Roman" w:hAnsi="Times New Roman" w:cs="Times New Roman"/>
        </w:rPr>
        <w:t>ndex</w:t>
      </w:r>
      <w:proofErr w:type="spellEnd"/>
      <w:r>
        <w:rPr>
          <w:rFonts w:ascii="Times New Roman" w:hAnsi="Times New Roman" w:cs="Times New Roman"/>
        </w:rPr>
        <w:t xml:space="preserve"> (</w:t>
      </w:r>
      <w:r>
        <w:rPr>
          <w:rFonts w:ascii="Times New Roman" w:hAnsi="Times New Roman" w:cs="Times New Roman"/>
          <w:lang w:val="en-US"/>
        </w:rPr>
        <w:t>CSI</w:t>
      </w:r>
      <w:r>
        <w:rPr>
          <w:rFonts w:ascii="Times New Roman" w:hAnsi="Times New Roman" w:cs="Times New Roman"/>
        </w:rPr>
        <w:t xml:space="preserve">) </w:t>
      </w:r>
      <w:hyperlink r:id="rId2">
        <w:r>
          <w:rPr>
            <w:rFonts w:ascii="Times New Roman" w:hAnsi="Times New Roman" w:cs="Times New Roman"/>
          </w:rPr>
          <w:t>http://arfi.ru/upload/iblock/f53/issledovanie-kachestva-uslug-registratorov-_-29-03-2016.pdf</w:t>
        </w:r>
      </w:hyperlink>
      <w:r>
        <w:rPr>
          <w:rFonts w:ascii="Times New Roman" w:hAnsi="Times New Roman" w:cs="Times New Roman"/>
        </w:rPr>
        <w:t xml:space="preserve"> </w:t>
      </w:r>
    </w:p>
  </w:footnote>
  <w:footnote w:id="7">
    <w:p w:rsidR="00575CAF" w:rsidRDefault="00AE0AE3">
      <w:pPr>
        <w:pStyle w:val="af1"/>
        <w:rPr>
          <w:rFonts w:ascii="Times New Roman" w:hAnsi="Times New Roman" w:cs="Times New Roman"/>
        </w:rPr>
      </w:pPr>
      <w:r>
        <w:rPr>
          <w:rStyle w:val="a9"/>
        </w:rPr>
        <w:footnoteRef/>
      </w:r>
      <w:r>
        <w:rPr>
          <w:rFonts w:ascii="Times New Roman" w:hAnsi="Times New Roman" w:cs="Times New Roman"/>
        </w:rPr>
        <w:t xml:space="preserve"> Национальное рейтинговое агентство. Методология присвоения </w:t>
      </w:r>
      <w:proofErr w:type="spellStart"/>
      <w:r>
        <w:rPr>
          <w:rFonts w:ascii="Times New Roman" w:hAnsi="Times New Roman" w:cs="Times New Roman"/>
        </w:rPr>
        <w:t>некредитных</w:t>
      </w:r>
      <w:proofErr w:type="spellEnd"/>
      <w:r>
        <w:rPr>
          <w:rFonts w:ascii="Times New Roman" w:hAnsi="Times New Roman" w:cs="Times New Roman"/>
        </w:rPr>
        <w:t xml:space="preserve"> рейтингов надежности и качества услуг регистраторам по национальной шкале регистраторов для Российской Федерации </w:t>
      </w:r>
      <w:hyperlink r:id="rId3">
        <w:r>
          <w:rPr>
            <w:rFonts w:ascii="Times New Roman" w:hAnsi="Times New Roman" w:cs="Times New Roman"/>
          </w:rPr>
          <w:t>http://www.ra-national.ru/ru/node/57350</w:t>
        </w:r>
      </w:hyperlink>
      <w:r>
        <w:rPr>
          <w:rFonts w:ascii="Times New Roman" w:hAnsi="Times New Roman" w:cs="Times New Roman"/>
        </w:rPr>
        <w:t xml:space="preserve"> </w:t>
      </w:r>
    </w:p>
  </w:footnote>
  <w:footnote w:id="8">
    <w:p w:rsidR="00575CAF" w:rsidRPr="006A2FC2" w:rsidRDefault="00AE0AE3">
      <w:pPr>
        <w:pStyle w:val="af1"/>
        <w:rPr>
          <w:lang w:val="en-US"/>
        </w:rPr>
      </w:pPr>
      <w:r>
        <w:rPr>
          <w:rStyle w:val="a9"/>
        </w:rPr>
        <w:footnoteRef/>
      </w:r>
      <w:r>
        <w:t xml:space="preserve"> </w:t>
      </w:r>
      <w:r>
        <w:rPr>
          <w:rFonts w:ascii="Times New Roman" w:hAnsi="Times New Roman" w:cs="Times New Roman"/>
        </w:rPr>
        <w:t xml:space="preserve">Критерии рейтинга небанковских финансовых институтов (англ. </w:t>
      </w:r>
      <w:r>
        <w:rPr>
          <w:rFonts w:ascii="Times New Roman" w:hAnsi="Times New Roman" w:cs="Times New Roman"/>
          <w:lang w:val="en-US"/>
        </w:rPr>
        <w:t xml:space="preserve">Non-Bank Financial Institutions Rating Criteria) </w:t>
      </w:r>
      <w:r w:rsidR="006A2FC2">
        <w:fldChar w:fldCharType="begin"/>
      </w:r>
      <w:r w:rsidR="006A2FC2" w:rsidRPr="006A2FC2">
        <w:rPr>
          <w:lang w:val="en-US"/>
        </w:rPr>
        <w:instrText xml:space="preserve"> HYPERLINK "https://www.fitchratings.com/research/non-bank-financia</w:instrText>
      </w:r>
      <w:r w:rsidR="006A2FC2" w:rsidRPr="006A2FC2">
        <w:rPr>
          <w:lang w:val="en-US"/>
        </w:rPr>
        <w:instrText xml:space="preserve">l-institutions/non-bank-financial-institutions-rating-criteria-28-02-2020" \h </w:instrText>
      </w:r>
      <w:r w:rsidR="006A2FC2">
        <w:fldChar w:fldCharType="separate"/>
      </w:r>
      <w:r>
        <w:rPr>
          <w:rFonts w:ascii="Times New Roman" w:hAnsi="Times New Roman" w:cs="Times New Roman"/>
          <w:lang w:val="en-US"/>
        </w:rPr>
        <w:t>https://www.fitchratings.com/research/non-bank-financial-institutions/non-bank-financial-institutions-rating-criteria-28-02-2020</w:t>
      </w:r>
      <w:r w:rsidR="006A2FC2">
        <w:rPr>
          <w:rFonts w:ascii="Times New Roman" w:hAnsi="Times New Roman" w:cs="Times New Roman"/>
          <w:lang w:val="en-US"/>
        </w:rPr>
        <w:fldChar w:fldCharType="end"/>
      </w:r>
      <w:r>
        <w:rPr>
          <w:rFonts w:ascii="Times New Roman" w:hAnsi="Times New Roman" w:cs="Times New Roman"/>
          <w:lang w:val="en-US"/>
        </w:rPr>
        <w:t xml:space="preserve">  </w:t>
      </w:r>
    </w:p>
  </w:footnote>
  <w:footnote w:id="9">
    <w:p w:rsidR="00575CAF" w:rsidRDefault="00AE0AE3">
      <w:pPr>
        <w:jc w:val="both"/>
      </w:pPr>
      <w:r>
        <w:rPr>
          <w:rStyle w:val="a9"/>
        </w:rPr>
        <w:footnoteRef/>
      </w:r>
      <w:r>
        <w:t xml:space="preserve"> </w:t>
      </w:r>
      <w:proofErr w:type="gramStart"/>
      <w:r>
        <w:rPr>
          <w:rFonts w:ascii="Times New Roman" w:hAnsi="Times New Roman" w:cs="Times New Roman"/>
          <w:sz w:val="20"/>
          <w:szCs w:val="20"/>
        </w:rPr>
        <w:t>Положение Банка России от 27.05.2015 № 481-П «</w:t>
      </w:r>
      <w:r>
        <w:rPr>
          <w:rFonts w:ascii="Times New Roman" w:eastAsia="Times New Roman" w:hAnsi="Times New Roman" w:cs="Times New Roman"/>
          <w:sz w:val="20"/>
          <w:szCs w:val="20"/>
        </w:rPr>
        <w:t>О лицензионных требованиях и условиях осуществления профессиональной деятельности на рынке ценных бумаг, ограничениях на совмещение отдельных видов профессиональной деятельности на рынке ценных бумаг, а также о порядке и сроках представления в Банк России отчетов о прекращении обязательств, связанных с осуществлением профессиональной деятельности на рынке ценных бумаг, в случае аннулирования лицензии профессионального участника рынка ценных</w:t>
      </w:r>
      <w:proofErr w:type="gramEnd"/>
      <w:r>
        <w:rPr>
          <w:rFonts w:ascii="Times New Roman" w:eastAsia="Times New Roman" w:hAnsi="Times New Roman" w:cs="Times New Roman"/>
          <w:sz w:val="20"/>
          <w:szCs w:val="20"/>
        </w:rPr>
        <w:t xml:space="preserve"> бумаг»</w:t>
      </w:r>
    </w:p>
  </w:footnote>
  <w:footnote w:id="10">
    <w:p w:rsidR="00575CAF" w:rsidRDefault="00AE0AE3">
      <w:pPr>
        <w:pStyle w:val="af1"/>
      </w:pPr>
      <w:r>
        <w:rPr>
          <w:rStyle w:val="a9"/>
        </w:rPr>
        <w:footnoteRef/>
      </w:r>
      <w:r>
        <w:rPr>
          <w:rFonts w:ascii="Times New Roman" w:hAnsi="Times New Roman" w:cs="Times New Roman"/>
        </w:rPr>
        <w:t xml:space="preserve"> Приложение к Информационному письму Банка России от 28.02.2019 № ИН-06-28/18</w:t>
      </w:r>
    </w:p>
  </w:footnote>
  <w:footnote w:id="11">
    <w:p w:rsidR="00575CAF" w:rsidRDefault="00AE0AE3">
      <w:pPr>
        <w:pStyle w:val="af1"/>
      </w:pPr>
      <w:r>
        <w:rPr>
          <w:rStyle w:val="a9"/>
        </w:rPr>
        <w:footnoteRef/>
      </w:r>
      <w:r>
        <w:rPr>
          <w:rFonts w:ascii="Times New Roman" w:hAnsi="Times New Roman" w:cs="Times New Roman"/>
        </w:rPr>
        <w:t xml:space="preserve"> П. 3.2. Методических рекомендаций Банка России от 18 августа 2016 г. N 28-МР «По обеспечению непрерывности деятельности </w:t>
      </w:r>
      <w:proofErr w:type="spellStart"/>
      <w:r>
        <w:rPr>
          <w:rFonts w:ascii="Times New Roman" w:hAnsi="Times New Roman" w:cs="Times New Roman"/>
        </w:rPr>
        <w:t>некредитных</w:t>
      </w:r>
      <w:proofErr w:type="spellEnd"/>
      <w:r>
        <w:rPr>
          <w:rFonts w:ascii="Times New Roman" w:hAnsi="Times New Roman" w:cs="Times New Roman"/>
        </w:rPr>
        <w:t xml:space="preserve"> финансовых организаций»</w:t>
      </w:r>
    </w:p>
  </w:footnote>
  <w:footnote w:id="12">
    <w:p w:rsidR="00575CAF" w:rsidRDefault="00AE0AE3">
      <w:pPr>
        <w:jc w:val="both"/>
        <w:rPr>
          <w:rFonts w:ascii="Times New Roman" w:eastAsia="Times New Roman" w:hAnsi="Times New Roman" w:cs="Times New Roman"/>
          <w:sz w:val="20"/>
          <w:szCs w:val="20"/>
        </w:rPr>
      </w:pPr>
      <w:r>
        <w:rPr>
          <w:rStyle w:val="a9"/>
        </w:rPr>
        <w:footnoteRef/>
      </w:r>
      <w:r>
        <w:t xml:space="preserve"> </w:t>
      </w:r>
      <w:r>
        <w:rPr>
          <w:rFonts w:ascii="Times New Roman" w:hAnsi="Times New Roman" w:cs="Times New Roman"/>
          <w:sz w:val="20"/>
          <w:szCs w:val="20"/>
        </w:rPr>
        <w:t xml:space="preserve">Федеральный закон </w:t>
      </w:r>
      <w:proofErr w:type="gramStart"/>
      <w:r>
        <w:rPr>
          <w:rFonts w:ascii="Times New Roman" w:hAnsi="Times New Roman" w:cs="Times New Roman"/>
          <w:sz w:val="20"/>
          <w:szCs w:val="20"/>
        </w:rPr>
        <w:t>от</w:t>
      </w:r>
      <w:proofErr w:type="gramEnd"/>
      <w:r>
        <w:rPr>
          <w:rFonts w:ascii="Times New Roman" w:hAnsi="Times New Roman" w:cs="Times New Roman"/>
          <w:sz w:val="20"/>
          <w:szCs w:val="20"/>
        </w:rPr>
        <w:t xml:space="preserve"> </w:t>
      </w:r>
      <w:proofErr w:type="gramStart"/>
      <w:r>
        <w:rPr>
          <w:rFonts w:ascii="Times New Roman" w:eastAsia="Times New Roman" w:hAnsi="Times New Roman" w:cs="Times New Roman"/>
          <w:sz w:val="20"/>
          <w:szCs w:val="20"/>
        </w:rPr>
        <w:t>Федеральный</w:t>
      </w:r>
      <w:proofErr w:type="gramEnd"/>
      <w:r>
        <w:rPr>
          <w:rFonts w:ascii="Times New Roman" w:eastAsia="Times New Roman" w:hAnsi="Times New Roman" w:cs="Times New Roman"/>
          <w:sz w:val="20"/>
          <w:szCs w:val="20"/>
        </w:rPr>
        <w:t xml:space="preserve"> закон от 27.12.2019 N 454-ФЗ «О внесении изменений в Федеральный закон «О рынке ценных бумаг» и статью 73 Федерального закона «Об исполнительном производстве» в части совершенствования регулирования профессиональной деятельности на рынке ценных бумаг»</w:t>
      </w:r>
    </w:p>
    <w:p w:rsidR="00575CAF" w:rsidRDefault="00575CAF">
      <w:pPr>
        <w:jc w:val="both"/>
        <w:rPr>
          <w:rFonts w:ascii="Verdana" w:eastAsia="Times New Roman" w:hAnsi="Verdana" w:cs="Times New Roman"/>
          <w:sz w:val="21"/>
          <w:szCs w:val="21"/>
        </w:rPr>
      </w:pPr>
    </w:p>
    <w:p w:rsidR="00575CAF" w:rsidRDefault="00575CAF">
      <w:pPr>
        <w:pStyle w:val="af1"/>
      </w:pPr>
    </w:p>
  </w:footnote>
  <w:footnote w:id="13">
    <w:p w:rsidR="00575CAF" w:rsidRDefault="00AE0AE3">
      <w:pPr>
        <w:pStyle w:val="af1"/>
        <w:rPr>
          <w:rFonts w:ascii="Times New Roman" w:hAnsi="Times New Roman" w:cs="Times New Roman"/>
        </w:rPr>
      </w:pPr>
      <w:r>
        <w:rPr>
          <w:rStyle w:val="a9"/>
        </w:rPr>
        <w:footnoteRef/>
      </w:r>
      <w:r>
        <w:rPr>
          <w:rFonts w:ascii="Times New Roman" w:hAnsi="Times New Roman" w:cs="Times New Roman"/>
        </w:rPr>
        <w:t xml:space="preserve"> </w:t>
      </w:r>
      <w:hyperlink r:id="rId4">
        <w:r>
          <w:rPr>
            <w:rFonts w:ascii="Times New Roman" w:hAnsi="Times New Roman" w:cs="Times New Roman"/>
          </w:rPr>
          <w:t>http://www.reestring.ru/reyting.php</w:t>
        </w:r>
      </w:hyperlink>
      <w:r>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F6329"/>
    <w:multiLevelType w:val="multilevel"/>
    <w:tmpl w:val="BD087480"/>
    <w:lvl w:ilvl="0">
      <w:start w:val="1"/>
      <w:numFmt w:val="bullet"/>
      <w:lvlText w:val=""/>
      <w:lvlJc w:val="left"/>
      <w:pPr>
        <w:tabs>
          <w:tab w:val="num" w:pos="0"/>
        </w:tabs>
        <w:ind w:left="1620" w:hanging="360"/>
      </w:pPr>
      <w:rPr>
        <w:rFonts w:ascii="Symbol" w:hAnsi="Symbol" w:cs="Symbol" w:hint="default"/>
      </w:rPr>
    </w:lvl>
    <w:lvl w:ilvl="1">
      <w:start w:val="1"/>
      <w:numFmt w:val="bullet"/>
      <w:lvlText w:val="o"/>
      <w:lvlJc w:val="left"/>
      <w:pPr>
        <w:tabs>
          <w:tab w:val="num" w:pos="0"/>
        </w:tabs>
        <w:ind w:left="2340" w:hanging="360"/>
      </w:pPr>
      <w:rPr>
        <w:rFonts w:ascii="Courier New" w:hAnsi="Courier New" w:cs="Courier New" w:hint="default"/>
      </w:rPr>
    </w:lvl>
    <w:lvl w:ilvl="2">
      <w:start w:val="1"/>
      <w:numFmt w:val="bullet"/>
      <w:lvlText w:val=""/>
      <w:lvlJc w:val="left"/>
      <w:pPr>
        <w:tabs>
          <w:tab w:val="num" w:pos="0"/>
        </w:tabs>
        <w:ind w:left="3060" w:hanging="360"/>
      </w:pPr>
      <w:rPr>
        <w:rFonts w:ascii="Wingdings" w:hAnsi="Wingdings" w:cs="Wingdings" w:hint="default"/>
      </w:rPr>
    </w:lvl>
    <w:lvl w:ilvl="3">
      <w:start w:val="1"/>
      <w:numFmt w:val="bullet"/>
      <w:lvlText w:val=""/>
      <w:lvlJc w:val="left"/>
      <w:pPr>
        <w:tabs>
          <w:tab w:val="num" w:pos="0"/>
        </w:tabs>
        <w:ind w:left="3780" w:hanging="360"/>
      </w:pPr>
      <w:rPr>
        <w:rFonts w:ascii="Symbol" w:hAnsi="Symbol" w:cs="Symbol" w:hint="default"/>
      </w:rPr>
    </w:lvl>
    <w:lvl w:ilvl="4">
      <w:start w:val="1"/>
      <w:numFmt w:val="bullet"/>
      <w:lvlText w:val="o"/>
      <w:lvlJc w:val="left"/>
      <w:pPr>
        <w:tabs>
          <w:tab w:val="num" w:pos="0"/>
        </w:tabs>
        <w:ind w:left="4500" w:hanging="360"/>
      </w:pPr>
      <w:rPr>
        <w:rFonts w:ascii="Courier New" w:hAnsi="Courier New" w:cs="Courier New" w:hint="default"/>
      </w:rPr>
    </w:lvl>
    <w:lvl w:ilvl="5">
      <w:start w:val="1"/>
      <w:numFmt w:val="bullet"/>
      <w:lvlText w:val=""/>
      <w:lvlJc w:val="left"/>
      <w:pPr>
        <w:tabs>
          <w:tab w:val="num" w:pos="0"/>
        </w:tabs>
        <w:ind w:left="5220" w:hanging="360"/>
      </w:pPr>
      <w:rPr>
        <w:rFonts w:ascii="Wingdings" w:hAnsi="Wingdings" w:cs="Wingdings" w:hint="default"/>
      </w:rPr>
    </w:lvl>
    <w:lvl w:ilvl="6">
      <w:start w:val="1"/>
      <w:numFmt w:val="bullet"/>
      <w:lvlText w:val=""/>
      <w:lvlJc w:val="left"/>
      <w:pPr>
        <w:tabs>
          <w:tab w:val="num" w:pos="0"/>
        </w:tabs>
        <w:ind w:left="5940" w:hanging="360"/>
      </w:pPr>
      <w:rPr>
        <w:rFonts w:ascii="Symbol" w:hAnsi="Symbol" w:cs="Symbol" w:hint="default"/>
      </w:rPr>
    </w:lvl>
    <w:lvl w:ilvl="7">
      <w:start w:val="1"/>
      <w:numFmt w:val="bullet"/>
      <w:lvlText w:val="o"/>
      <w:lvlJc w:val="left"/>
      <w:pPr>
        <w:tabs>
          <w:tab w:val="num" w:pos="0"/>
        </w:tabs>
        <w:ind w:left="6660" w:hanging="360"/>
      </w:pPr>
      <w:rPr>
        <w:rFonts w:ascii="Courier New" w:hAnsi="Courier New" w:cs="Courier New" w:hint="default"/>
      </w:rPr>
    </w:lvl>
    <w:lvl w:ilvl="8">
      <w:start w:val="1"/>
      <w:numFmt w:val="bullet"/>
      <w:lvlText w:val=""/>
      <w:lvlJc w:val="left"/>
      <w:pPr>
        <w:tabs>
          <w:tab w:val="num" w:pos="0"/>
        </w:tabs>
        <w:ind w:left="7380" w:hanging="360"/>
      </w:pPr>
      <w:rPr>
        <w:rFonts w:ascii="Wingdings" w:hAnsi="Wingdings" w:cs="Wingdings" w:hint="default"/>
      </w:rPr>
    </w:lvl>
  </w:abstractNum>
  <w:abstractNum w:abstractNumId="1">
    <w:nsid w:val="4FDC757A"/>
    <w:multiLevelType w:val="multilevel"/>
    <w:tmpl w:val="211A4C08"/>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nsid w:val="68572125"/>
    <w:multiLevelType w:val="multilevel"/>
    <w:tmpl w:val="87B224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CAF"/>
    <w:rsid w:val="00575CAF"/>
    <w:rsid w:val="006A2FC2"/>
    <w:rsid w:val="00AE0AE3"/>
    <w:rsid w:val="00E9659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0"/>
    <w:uiPriority w:val="9"/>
    <w:qFormat/>
    <w:rsid w:val="00D371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CE6DDC"/>
    <w:rPr>
      <w:sz w:val="20"/>
      <w:szCs w:val="20"/>
    </w:rPr>
  </w:style>
  <w:style w:type="character" w:customStyle="1" w:styleId="a4">
    <w:name w:val="Привязка сноски"/>
    <w:rPr>
      <w:vertAlign w:val="superscript"/>
    </w:rPr>
  </w:style>
  <w:style w:type="character" w:customStyle="1" w:styleId="FootnoteCharacters">
    <w:name w:val="Footnote Characters"/>
    <w:basedOn w:val="a0"/>
    <w:uiPriority w:val="99"/>
    <w:semiHidden/>
    <w:unhideWhenUsed/>
    <w:qFormat/>
    <w:rsid w:val="00CE6DDC"/>
    <w:rPr>
      <w:vertAlign w:val="superscript"/>
    </w:rPr>
  </w:style>
  <w:style w:type="character" w:customStyle="1" w:styleId="-">
    <w:name w:val="Интернет-ссылка"/>
    <w:basedOn w:val="a0"/>
    <w:uiPriority w:val="99"/>
    <w:unhideWhenUsed/>
    <w:rsid w:val="00294BA0"/>
    <w:rPr>
      <w:color w:val="0000FF" w:themeColor="hyperlink"/>
      <w:u w:val="single"/>
    </w:rPr>
  </w:style>
  <w:style w:type="character" w:styleId="a5">
    <w:name w:val="annotation reference"/>
    <w:basedOn w:val="a0"/>
    <w:uiPriority w:val="99"/>
    <w:semiHidden/>
    <w:unhideWhenUsed/>
    <w:qFormat/>
    <w:rsid w:val="006E7474"/>
    <w:rPr>
      <w:sz w:val="16"/>
      <w:szCs w:val="16"/>
    </w:rPr>
  </w:style>
  <w:style w:type="character" w:customStyle="1" w:styleId="a6">
    <w:name w:val="Текст примечания Знак"/>
    <w:basedOn w:val="a0"/>
    <w:uiPriority w:val="99"/>
    <w:semiHidden/>
    <w:qFormat/>
    <w:rsid w:val="006E7474"/>
    <w:rPr>
      <w:sz w:val="20"/>
      <w:szCs w:val="20"/>
    </w:rPr>
  </w:style>
  <w:style w:type="character" w:customStyle="1" w:styleId="a7">
    <w:name w:val="Тема примечания Знак"/>
    <w:basedOn w:val="a6"/>
    <w:uiPriority w:val="99"/>
    <w:semiHidden/>
    <w:qFormat/>
    <w:rsid w:val="006E7474"/>
    <w:rPr>
      <w:b/>
      <w:bCs/>
      <w:sz w:val="20"/>
      <w:szCs w:val="20"/>
    </w:rPr>
  </w:style>
  <w:style w:type="character" w:customStyle="1" w:styleId="a8">
    <w:name w:val="Текст выноски Знак"/>
    <w:basedOn w:val="a0"/>
    <w:uiPriority w:val="99"/>
    <w:semiHidden/>
    <w:qFormat/>
    <w:rsid w:val="006E7474"/>
    <w:rPr>
      <w:rFonts w:ascii="Segoe UI" w:hAnsi="Segoe UI" w:cs="Segoe UI"/>
      <w:sz w:val="18"/>
      <w:szCs w:val="18"/>
    </w:rPr>
  </w:style>
  <w:style w:type="character" w:customStyle="1" w:styleId="10">
    <w:name w:val="Заголовок 1 Знак"/>
    <w:basedOn w:val="a0"/>
    <w:link w:val="1"/>
    <w:uiPriority w:val="9"/>
    <w:qFormat/>
    <w:rsid w:val="00D371A8"/>
    <w:rPr>
      <w:rFonts w:asciiTheme="majorHAnsi" w:eastAsiaTheme="majorEastAsia" w:hAnsiTheme="majorHAnsi" w:cstheme="majorBidi"/>
      <w:color w:val="365F91" w:themeColor="accent1" w:themeShade="BF"/>
      <w:sz w:val="32"/>
      <w:szCs w:val="32"/>
    </w:rPr>
  </w:style>
  <w:style w:type="character" w:customStyle="1" w:styleId="a9">
    <w:name w:val="Символ сноски"/>
    <w:qFormat/>
  </w:style>
  <w:style w:type="character" w:customStyle="1" w:styleId="aa">
    <w:name w:val="Привязка концевой сноски"/>
    <w:rPr>
      <w:vertAlign w:val="superscript"/>
    </w:rPr>
  </w:style>
  <w:style w:type="character" w:customStyle="1" w:styleId="ab">
    <w:name w:val="Символ концевой сноски"/>
    <w:qFormat/>
  </w:style>
  <w:style w:type="paragraph" w:customStyle="1" w:styleId="ac">
    <w:name w:val="Заголовок"/>
    <w:basedOn w:val="a"/>
    <w:next w:val="ad"/>
    <w:qFormat/>
    <w:pPr>
      <w:keepNext/>
      <w:spacing w:before="240" w:after="120"/>
    </w:pPr>
    <w:rPr>
      <w:rFonts w:ascii="Liberation Sans" w:eastAsia="Microsoft YaHei" w:hAnsi="Liberation Sans" w:cs="Lucida Sans"/>
      <w:sz w:val="28"/>
      <w:szCs w:val="28"/>
    </w:rPr>
  </w:style>
  <w:style w:type="paragraph" w:styleId="ad">
    <w:name w:val="Body Text"/>
    <w:basedOn w:val="a"/>
    <w:pPr>
      <w:spacing w:after="140"/>
    </w:pPr>
  </w:style>
  <w:style w:type="paragraph" w:styleId="ae">
    <w:name w:val="List"/>
    <w:basedOn w:val="ad"/>
    <w:rPr>
      <w:rFonts w:cs="Lucida Sans"/>
    </w:rPr>
  </w:style>
  <w:style w:type="paragraph" w:styleId="af">
    <w:name w:val="caption"/>
    <w:basedOn w:val="a"/>
    <w:qFormat/>
    <w:pPr>
      <w:suppressLineNumbers/>
      <w:spacing w:before="120" w:after="120"/>
    </w:pPr>
    <w:rPr>
      <w:rFonts w:cs="Lucida Sans"/>
      <w:i/>
      <w:iCs/>
      <w:sz w:val="24"/>
      <w:szCs w:val="24"/>
    </w:rPr>
  </w:style>
  <w:style w:type="paragraph" w:styleId="af0">
    <w:name w:val="index heading"/>
    <w:basedOn w:val="a"/>
    <w:qFormat/>
    <w:pPr>
      <w:suppressLineNumbers/>
    </w:pPr>
    <w:rPr>
      <w:rFonts w:cs="Lucida Sans"/>
    </w:rPr>
  </w:style>
  <w:style w:type="paragraph" w:styleId="af1">
    <w:name w:val="footnote text"/>
    <w:basedOn w:val="a"/>
    <w:uiPriority w:val="99"/>
    <w:semiHidden/>
    <w:unhideWhenUsed/>
    <w:rsid w:val="00CE6DDC"/>
    <w:pPr>
      <w:spacing w:after="0" w:line="240" w:lineRule="auto"/>
    </w:pPr>
    <w:rPr>
      <w:sz w:val="20"/>
      <w:szCs w:val="20"/>
    </w:rPr>
  </w:style>
  <w:style w:type="paragraph" w:styleId="af2">
    <w:name w:val="List Paragraph"/>
    <w:basedOn w:val="a"/>
    <w:uiPriority w:val="34"/>
    <w:qFormat/>
    <w:rsid w:val="000C628F"/>
    <w:pPr>
      <w:ind w:left="720"/>
      <w:contextualSpacing/>
    </w:pPr>
  </w:style>
  <w:style w:type="paragraph" w:styleId="af3">
    <w:name w:val="annotation text"/>
    <w:basedOn w:val="a"/>
    <w:uiPriority w:val="99"/>
    <w:semiHidden/>
    <w:unhideWhenUsed/>
    <w:qFormat/>
    <w:rsid w:val="006E7474"/>
    <w:pPr>
      <w:spacing w:line="240" w:lineRule="auto"/>
    </w:pPr>
    <w:rPr>
      <w:sz w:val="20"/>
      <w:szCs w:val="20"/>
    </w:rPr>
  </w:style>
  <w:style w:type="paragraph" w:styleId="af4">
    <w:name w:val="annotation subject"/>
    <w:basedOn w:val="af3"/>
    <w:next w:val="af3"/>
    <w:uiPriority w:val="99"/>
    <w:semiHidden/>
    <w:unhideWhenUsed/>
    <w:qFormat/>
    <w:rsid w:val="006E7474"/>
    <w:rPr>
      <w:b/>
      <w:bCs/>
    </w:rPr>
  </w:style>
  <w:style w:type="paragraph" w:styleId="af5">
    <w:name w:val="Balloon Text"/>
    <w:basedOn w:val="a"/>
    <w:uiPriority w:val="99"/>
    <w:semiHidden/>
    <w:unhideWhenUsed/>
    <w:qFormat/>
    <w:rsid w:val="006E7474"/>
    <w:pPr>
      <w:spacing w:after="0" w:line="240" w:lineRule="auto"/>
    </w:pPr>
    <w:rPr>
      <w:rFonts w:ascii="Segoe UI" w:hAnsi="Segoe UI" w:cs="Segoe UI"/>
      <w:sz w:val="18"/>
      <w:szCs w:val="18"/>
    </w:rPr>
  </w:style>
  <w:style w:type="table" w:styleId="af6">
    <w:name w:val="Table Grid"/>
    <w:basedOn w:val="a1"/>
    <w:uiPriority w:val="59"/>
    <w:unhideWhenUsed/>
    <w:rsid w:val="00B65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0"/>
    <w:uiPriority w:val="9"/>
    <w:qFormat/>
    <w:rsid w:val="00D371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CE6DDC"/>
    <w:rPr>
      <w:sz w:val="20"/>
      <w:szCs w:val="20"/>
    </w:rPr>
  </w:style>
  <w:style w:type="character" w:customStyle="1" w:styleId="a4">
    <w:name w:val="Привязка сноски"/>
    <w:rPr>
      <w:vertAlign w:val="superscript"/>
    </w:rPr>
  </w:style>
  <w:style w:type="character" w:customStyle="1" w:styleId="FootnoteCharacters">
    <w:name w:val="Footnote Characters"/>
    <w:basedOn w:val="a0"/>
    <w:uiPriority w:val="99"/>
    <w:semiHidden/>
    <w:unhideWhenUsed/>
    <w:qFormat/>
    <w:rsid w:val="00CE6DDC"/>
    <w:rPr>
      <w:vertAlign w:val="superscript"/>
    </w:rPr>
  </w:style>
  <w:style w:type="character" w:customStyle="1" w:styleId="-">
    <w:name w:val="Интернет-ссылка"/>
    <w:basedOn w:val="a0"/>
    <w:uiPriority w:val="99"/>
    <w:unhideWhenUsed/>
    <w:rsid w:val="00294BA0"/>
    <w:rPr>
      <w:color w:val="0000FF" w:themeColor="hyperlink"/>
      <w:u w:val="single"/>
    </w:rPr>
  </w:style>
  <w:style w:type="character" w:styleId="a5">
    <w:name w:val="annotation reference"/>
    <w:basedOn w:val="a0"/>
    <w:uiPriority w:val="99"/>
    <w:semiHidden/>
    <w:unhideWhenUsed/>
    <w:qFormat/>
    <w:rsid w:val="006E7474"/>
    <w:rPr>
      <w:sz w:val="16"/>
      <w:szCs w:val="16"/>
    </w:rPr>
  </w:style>
  <w:style w:type="character" w:customStyle="1" w:styleId="a6">
    <w:name w:val="Текст примечания Знак"/>
    <w:basedOn w:val="a0"/>
    <w:uiPriority w:val="99"/>
    <w:semiHidden/>
    <w:qFormat/>
    <w:rsid w:val="006E7474"/>
    <w:rPr>
      <w:sz w:val="20"/>
      <w:szCs w:val="20"/>
    </w:rPr>
  </w:style>
  <w:style w:type="character" w:customStyle="1" w:styleId="a7">
    <w:name w:val="Тема примечания Знак"/>
    <w:basedOn w:val="a6"/>
    <w:uiPriority w:val="99"/>
    <w:semiHidden/>
    <w:qFormat/>
    <w:rsid w:val="006E7474"/>
    <w:rPr>
      <w:b/>
      <w:bCs/>
      <w:sz w:val="20"/>
      <w:szCs w:val="20"/>
    </w:rPr>
  </w:style>
  <w:style w:type="character" w:customStyle="1" w:styleId="a8">
    <w:name w:val="Текст выноски Знак"/>
    <w:basedOn w:val="a0"/>
    <w:uiPriority w:val="99"/>
    <w:semiHidden/>
    <w:qFormat/>
    <w:rsid w:val="006E7474"/>
    <w:rPr>
      <w:rFonts w:ascii="Segoe UI" w:hAnsi="Segoe UI" w:cs="Segoe UI"/>
      <w:sz w:val="18"/>
      <w:szCs w:val="18"/>
    </w:rPr>
  </w:style>
  <w:style w:type="character" w:customStyle="1" w:styleId="10">
    <w:name w:val="Заголовок 1 Знак"/>
    <w:basedOn w:val="a0"/>
    <w:link w:val="1"/>
    <w:uiPriority w:val="9"/>
    <w:qFormat/>
    <w:rsid w:val="00D371A8"/>
    <w:rPr>
      <w:rFonts w:asciiTheme="majorHAnsi" w:eastAsiaTheme="majorEastAsia" w:hAnsiTheme="majorHAnsi" w:cstheme="majorBidi"/>
      <w:color w:val="365F91" w:themeColor="accent1" w:themeShade="BF"/>
      <w:sz w:val="32"/>
      <w:szCs w:val="32"/>
    </w:rPr>
  </w:style>
  <w:style w:type="character" w:customStyle="1" w:styleId="a9">
    <w:name w:val="Символ сноски"/>
    <w:qFormat/>
  </w:style>
  <w:style w:type="character" w:customStyle="1" w:styleId="aa">
    <w:name w:val="Привязка концевой сноски"/>
    <w:rPr>
      <w:vertAlign w:val="superscript"/>
    </w:rPr>
  </w:style>
  <w:style w:type="character" w:customStyle="1" w:styleId="ab">
    <w:name w:val="Символ концевой сноски"/>
    <w:qFormat/>
  </w:style>
  <w:style w:type="paragraph" w:customStyle="1" w:styleId="ac">
    <w:name w:val="Заголовок"/>
    <w:basedOn w:val="a"/>
    <w:next w:val="ad"/>
    <w:qFormat/>
    <w:pPr>
      <w:keepNext/>
      <w:spacing w:before="240" w:after="120"/>
    </w:pPr>
    <w:rPr>
      <w:rFonts w:ascii="Liberation Sans" w:eastAsia="Microsoft YaHei" w:hAnsi="Liberation Sans" w:cs="Lucida Sans"/>
      <w:sz w:val="28"/>
      <w:szCs w:val="28"/>
    </w:rPr>
  </w:style>
  <w:style w:type="paragraph" w:styleId="ad">
    <w:name w:val="Body Text"/>
    <w:basedOn w:val="a"/>
    <w:pPr>
      <w:spacing w:after="140"/>
    </w:pPr>
  </w:style>
  <w:style w:type="paragraph" w:styleId="ae">
    <w:name w:val="List"/>
    <w:basedOn w:val="ad"/>
    <w:rPr>
      <w:rFonts w:cs="Lucida Sans"/>
    </w:rPr>
  </w:style>
  <w:style w:type="paragraph" w:styleId="af">
    <w:name w:val="caption"/>
    <w:basedOn w:val="a"/>
    <w:qFormat/>
    <w:pPr>
      <w:suppressLineNumbers/>
      <w:spacing w:before="120" w:after="120"/>
    </w:pPr>
    <w:rPr>
      <w:rFonts w:cs="Lucida Sans"/>
      <w:i/>
      <w:iCs/>
      <w:sz w:val="24"/>
      <w:szCs w:val="24"/>
    </w:rPr>
  </w:style>
  <w:style w:type="paragraph" w:styleId="af0">
    <w:name w:val="index heading"/>
    <w:basedOn w:val="a"/>
    <w:qFormat/>
    <w:pPr>
      <w:suppressLineNumbers/>
    </w:pPr>
    <w:rPr>
      <w:rFonts w:cs="Lucida Sans"/>
    </w:rPr>
  </w:style>
  <w:style w:type="paragraph" w:styleId="af1">
    <w:name w:val="footnote text"/>
    <w:basedOn w:val="a"/>
    <w:uiPriority w:val="99"/>
    <w:semiHidden/>
    <w:unhideWhenUsed/>
    <w:rsid w:val="00CE6DDC"/>
    <w:pPr>
      <w:spacing w:after="0" w:line="240" w:lineRule="auto"/>
    </w:pPr>
    <w:rPr>
      <w:sz w:val="20"/>
      <w:szCs w:val="20"/>
    </w:rPr>
  </w:style>
  <w:style w:type="paragraph" w:styleId="af2">
    <w:name w:val="List Paragraph"/>
    <w:basedOn w:val="a"/>
    <w:uiPriority w:val="34"/>
    <w:qFormat/>
    <w:rsid w:val="000C628F"/>
    <w:pPr>
      <w:ind w:left="720"/>
      <w:contextualSpacing/>
    </w:pPr>
  </w:style>
  <w:style w:type="paragraph" w:styleId="af3">
    <w:name w:val="annotation text"/>
    <w:basedOn w:val="a"/>
    <w:uiPriority w:val="99"/>
    <w:semiHidden/>
    <w:unhideWhenUsed/>
    <w:qFormat/>
    <w:rsid w:val="006E7474"/>
    <w:pPr>
      <w:spacing w:line="240" w:lineRule="auto"/>
    </w:pPr>
    <w:rPr>
      <w:sz w:val="20"/>
      <w:szCs w:val="20"/>
    </w:rPr>
  </w:style>
  <w:style w:type="paragraph" w:styleId="af4">
    <w:name w:val="annotation subject"/>
    <w:basedOn w:val="af3"/>
    <w:next w:val="af3"/>
    <w:uiPriority w:val="99"/>
    <w:semiHidden/>
    <w:unhideWhenUsed/>
    <w:qFormat/>
    <w:rsid w:val="006E7474"/>
    <w:rPr>
      <w:b/>
      <w:bCs/>
    </w:rPr>
  </w:style>
  <w:style w:type="paragraph" w:styleId="af5">
    <w:name w:val="Balloon Text"/>
    <w:basedOn w:val="a"/>
    <w:uiPriority w:val="99"/>
    <w:semiHidden/>
    <w:unhideWhenUsed/>
    <w:qFormat/>
    <w:rsid w:val="006E7474"/>
    <w:pPr>
      <w:spacing w:after="0" w:line="240" w:lineRule="auto"/>
    </w:pPr>
    <w:rPr>
      <w:rFonts w:ascii="Segoe UI" w:hAnsi="Segoe UI" w:cs="Segoe UI"/>
      <w:sz w:val="18"/>
      <w:szCs w:val="18"/>
    </w:rPr>
  </w:style>
  <w:style w:type="table" w:styleId="af6">
    <w:name w:val="Table Grid"/>
    <w:basedOn w:val="a1"/>
    <w:uiPriority w:val="59"/>
    <w:unhideWhenUsed/>
    <w:rsid w:val="00B65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ra-national.ru/ru/node/57350" TargetMode="External"/><Relationship Id="rId2" Type="http://schemas.openxmlformats.org/officeDocument/2006/relationships/hyperlink" Target="http://arfi.ru/upload/iblock/f53/issledovanie-kachestva-uslug-registratorov-_-29-03-2016.pdf" TargetMode="External"/><Relationship Id="rId1" Type="http://schemas.openxmlformats.org/officeDocument/2006/relationships/hyperlink" Target="https://www.cbr.ru/securities_market/registries/" TargetMode="External"/><Relationship Id="rId4" Type="http://schemas.openxmlformats.org/officeDocument/2006/relationships/hyperlink" Target="http://www.reestring.ru/reyting.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0548D5-0D48-47AE-A1EF-255F2F82D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3540</Words>
  <Characters>20178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АО ДРАГА</Company>
  <LinksUpToDate>false</LinksUpToDate>
  <CharactersWithSpaces>23671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Lanskov</dc:creator>
  <cp:lastModifiedBy>Петр Лансков</cp:lastModifiedBy>
  <cp:revision>3</cp:revision>
  <dcterms:created xsi:type="dcterms:W3CDTF">2020-10-17T10:29:00Z</dcterms:created>
  <dcterms:modified xsi:type="dcterms:W3CDTF">2020-11-16T08:20:00Z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АО ДРАГА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