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69EE7" w14:textId="77777777" w:rsidR="009E23C6" w:rsidRPr="008A6634" w:rsidRDefault="009E23C6" w:rsidP="009E23C6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 w:rsidRPr="008A6634">
        <w:rPr>
          <w:b/>
          <w:sz w:val="28"/>
          <w:szCs w:val="28"/>
        </w:rPr>
        <w:t xml:space="preserve">Итоги </w:t>
      </w:r>
      <w:r>
        <w:rPr>
          <w:b/>
          <w:sz w:val="28"/>
          <w:szCs w:val="28"/>
        </w:rPr>
        <w:t>совместной встречи подгрупп</w:t>
      </w:r>
      <w:r w:rsidRPr="008A6634">
        <w:rPr>
          <w:b/>
          <w:sz w:val="28"/>
          <w:szCs w:val="28"/>
        </w:rPr>
        <w:t xml:space="preserve"> </w:t>
      </w:r>
    </w:p>
    <w:p w14:paraId="75CAB059" w14:textId="77777777" w:rsidR="009E23C6" w:rsidRPr="008A6634" w:rsidRDefault="009E23C6" w:rsidP="009E23C6">
      <w:pPr>
        <w:spacing w:after="0" w:line="240" w:lineRule="auto"/>
        <w:jc w:val="center"/>
        <w:rPr>
          <w:b/>
          <w:sz w:val="28"/>
          <w:szCs w:val="28"/>
        </w:rPr>
      </w:pPr>
    </w:p>
    <w:p w14:paraId="7BDC3B84" w14:textId="77777777" w:rsidR="009E23C6" w:rsidRPr="009E23C6" w:rsidRDefault="009E23C6" w:rsidP="009E23C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9E23C6">
        <w:rPr>
          <w:sz w:val="28"/>
          <w:szCs w:val="28"/>
        </w:rPr>
        <w:t xml:space="preserve">06 «Инструменты, инфраструктура, профсервисы» и 09 </w:t>
      </w:r>
      <w:r w:rsidRPr="009E23C6">
        <w:rPr>
          <w:rFonts w:eastAsia="Times New Roman"/>
          <w:sz w:val="28"/>
          <w:szCs w:val="28"/>
          <w:lang w:eastAsia="ru-RU"/>
        </w:rPr>
        <w:t>«Профучастники»</w:t>
      </w:r>
      <w:bookmarkEnd w:id="0"/>
    </w:p>
    <w:p w14:paraId="4AE43A74" w14:textId="77777777" w:rsidR="009E23C6" w:rsidRPr="008A6634" w:rsidRDefault="009E23C6" w:rsidP="009E23C6">
      <w:pPr>
        <w:spacing w:after="0" w:line="240" w:lineRule="auto"/>
        <w:jc w:val="center"/>
        <w:rPr>
          <w:b/>
          <w:sz w:val="28"/>
          <w:szCs w:val="28"/>
        </w:rPr>
      </w:pPr>
    </w:p>
    <w:p w14:paraId="30A34597" w14:textId="77777777" w:rsidR="009E23C6" w:rsidRPr="008A6634" w:rsidRDefault="009E23C6" w:rsidP="009E23C6">
      <w:pPr>
        <w:spacing w:after="0" w:line="240" w:lineRule="auto"/>
        <w:jc w:val="center"/>
        <w:rPr>
          <w:b/>
          <w:sz w:val="28"/>
          <w:szCs w:val="28"/>
        </w:rPr>
      </w:pPr>
      <w:r w:rsidRPr="008A663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2 НОЯБРЯ </w:t>
      </w:r>
      <w:r w:rsidRPr="008A6634">
        <w:rPr>
          <w:b/>
          <w:sz w:val="28"/>
          <w:szCs w:val="28"/>
        </w:rPr>
        <w:t>2020 ГОДА</w:t>
      </w:r>
    </w:p>
    <w:p w14:paraId="02B17658" w14:textId="77777777" w:rsidR="009E23C6" w:rsidRPr="008A6634" w:rsidRDefault="009E23C6" w:rsidP="009E23C6">
      <w:pPr>
        <w:spacing w:after="0" w:line="240" w:lineRule="auto"/>
        <w:jc w:val="center"/>
      </w:pPr>
    </w:p>
    <w:p w14:paraId="6D15C231" w14:textId="77777777" w:rsidR="009E23C6" w:rsidRPr="00465CA2" w:rsidRDefault="009E23C6" w:rsidP="00465CA2">
      <w:pPr>
        <w:spacing w:after="0" w:line="240" w:lineRule="auto"/>
        <w:ind w:firstLine="567"/>
        <w:jc w:val="both"/>
        <w:rPr>
          <w:sz w:val="26"/>
          <w:szCs w:val="26"/>
        </w:rPr>
      </w:pPr>
      <w:r w:rsidRPr="00465CA2">
        <w:rPr>
          <w:sz w:val="26"/>
          <w:szCs w:val="26"/>
        </w:rPr>
        <w:t>12 ноября 2020 года</w:t>
      </w:r>
      <w:r w:rsidR="00DF41C3" w:rsidRPr="00465CA2">
        <w:rPr>
          <w:sz w:val="26"/>
          <w:szCs w:val="26"/>
        </w:rPr>
        <w:t xml:space="preserve"> в Аналитическом центре «Форум»</w:t>
      </w:r>
      <w:r w:rsidRPr="00465CA2">
        <w:rPr>
          <w:sz w:val="26"/>
          <w:szCs w:val="26"/>
        </w:rPr>
        <w:t xml:space="preserve"> состоялось совместное заседание подгруппы 06 «Инструменты, инфраструктура, профсервисы» (шестое заседание) и подгруппы 09 «Профучастники» (шестое заседание) Рабочей группы Банка России по оптимизации регуляторной нагрузки на участников финансового рынка</w:t>
      </w:r>
      <w:r w:rsidR="005852AA" w:rsidRPr="00465CA2">
        <w:rPr>
          <w:sz w:val="26"/>
          <w:szCs w:val="26"/>
        </w:rPr>
        <w:t xml:space="preserve"> (далее – Рабочая группа)</w:t>
      </w:r>
      <w:r w:rsidRPr="00465CA2">
        <w:rPr>
          <w:sz w:val="26"/>
          <w:szCs w:val="26"/>
        </w:rPr>
        <w:t xml:space="preserve">. </w:t>
      </w:r>
    </w:p>
    <w:p w14:paraId="76C7C2CB" w14:textId="77777777" w:rsidR="009E23C6" w:rsidRPr="00465CA2" w:rsidRDefault="009E23C6" w:rsidP="00465CA2">
      <w:pPr>
        <w:spacing w:after="0" w:line="240" w:lineRule="auto"/>
        <w:ind w:firstLine="567"/>
        <w:jc w:val="both"/>
        <w:rPr>
          <w:sz w:val="26"/>
          <w:szCs w:val="26"/>
        </w:rPr>
      </w:pPr>
      <w:r w:rsidRPr="00465CA2">
        <w:rPr>
          <w:sz w:val="26"/>
          <w:szCs w:val="26"/>
        </w:rPr>
        <w:t xml:space="preserve">В заседании, прошедшем в дистанционном режиме, приняли участие представители профессиональных участников рынка ценных бумаг, учётной инфраструктуры, </w:t>
      </w:r>
      <w:r w:rsidR="00FE1079" w:rsidRPr="00465CA2">
        <w:rPr>
          <w:sz w:val="26"/>
          <w:szCs w:val="26"/>
        </w:rPr>
        <w:t xml:space="preserve">пенсионных фондов, </w:t>
      </w:r>
      <w:r w:rsidRPr="00465CA2">
        <w:rPr>
          <w:sz w:val="26"/>
          <w:szCs w:val="26"/>
        </w:rPr>
        <w:t>профильных ассоциаций (ПАРТАД, СРО НФА, НАУФОР, АНПФ, НСФР), а также представители Департамента инфраструктуры финансового рынка, Департамента инвестиционных финансовых посредников, Департамента стратегического развития финансового рынка, Департамента информационной безопасности, Службы по защите прав потребителей и обеспечению доступности финансовых услуг Банка России.</w:t>
      </w:r>
    </w:p>
    <w:p w14:paraId="6888D35D" w14:textId="77777777" w:rsidR="00FE1079" w:rsidRPr="00465CA2" w:rsidRDefault="009E23C6" w:rsidP="00465CA2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465CA2">
        <w:rPr>
          <w:sz w:val="26"/>
          <w:szCs w:val="26"/>
        </w:rPr>
        <w:t>На встрече участники заседания рассмотрели</w:t>
      </w:r>
      <w:r w:rsidR="00823845" w:rsidRPr="00465CA2">
        <w:rPr>
          <w:sz w:val="26"/>
          <w:szCs w:val="26"/>
        </w:rPr>
        <w:t xml:space="preserve"> следующие вопросы</w:t>
      </w:r>
      <w:r w:rsidR="00FE1079" w:rsidRPr="00465CA2">
        <w:rPr>
          <w:sz w:val="26"/>
          <w:szCs w:val="26"/>
        </w:rPr>
        <w:t>:</w:t>
      </w:r>
    </w:p>
    <w:p w14:paraId="64218D18" w14:textId="77777777" w:rsidR="00FE1079" w:rsidRPr="00465CA2" w:rsidRDefault="00823845" w:rsidP="00465CA2">
      <w:pPr>
        <w:pStyle w:val="a3"/>
        <w:tabs>
          <w:tab w:val="left" w:pos="709"/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465CA2">
        <w:rPr>
          <w:sz w:val="26"/>
          <w:szCs w:val="26"/>
          <w:lang w:val="ru-RU"/>
        </w:rPr>
        <w:t>1. Р</w:t>
      </w:r>
      <w:r w:rsidR="00FE1079" w:rsidRPr="00465CA2">
        <w:rPr>
          <w:sz w:val="26"/>
          <w:szCs w:val="26"/>
          <w:lang w:val="ru-RU"/>
        </w:rPr>
        <w:t>езультаты</w:t>
      </w:r>
      <w:r w:rsidR="009E23C6" w:rsidRPr="00465CA2">
        <w:rPr>
          <w:sz w:val="26"/>
          <w:szCs w:val="26"/>
          <w:lang w:val="ru-RU"/>
        </w:rPr>
        <w:t xml:space="preserve"> апробации </w:t>
      </w:r>
      <w:r w:rsidR="00FE1079" w:rsidRPr="00465CA2">
        <w:rPr>
          <w:sz w:val="26"/>
          <w:szCs w:val="26"/>
          <w:lang w:val="ru-RU"/>
        </w:rPr>
        <w:t>Методики оценки количественных и качественных показателей выгод и издержек при рассмотрении инициатив участников финансового рынка</w:t>
      </w:r>
      <w:r w:rsidR="00204593" w:rsidRPr="00465CA2">
        <w:rPr>
          <w:sz w:val="26"/>
          <w:szCs w:val="26"/>
          <w:lang w:val="ru-RU"/>
        </w:rPr>
        <w:t>.</w:t>
      </w:r>
    </w:p>
    <w:p w14:paraId="762ECAA6" w14:textId="0811B3DC" w:rsidR="009E23C6" w:rsidRPr="00465CA2" w:rsidRDefault="00823845" w:rsidP="00465CA2">
      <w:pPr>
        <w:pStyle w:val="a3"/>
        <w:tabs>
          <w:tab w:val="left" w:pos="284"/>
          <w:tab w:val="left" w:pos="426"/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465CA2">
        <w:rPr>
          <w:sz w:val="26"/>
          <w:szCs w:val="26"/>
          <w:lang w:val="ru-RU"/>
        </w:rPr>
        <w:t xml:space="preserve">2. </w:t>
      </w:r>
      <w:r w:rsidR="00204593" w:rsidRPr="00465CA2">
        <w:rPr>
          <w:sz w:val="26"/>
          <w:szCs w:val="26"/>
          <w:lang w:val="ru-RU"/>
        </w:rPr>
        <w:t xml:space="preserve">Обсуждение </w:t>
      </w:r>
      <w:r w:rsidR="00FE1079" w:rsidRPr="00465CA2">
        <w:rPr>
          <w:sz w:val="26"/>
          <w:szCs w:val="26"/>
          <w:lang w:val="ru-RU"/>
        </w:rPr>
        <w:t>вариант</w:t>
      </w:r>
      <w:r w:rsidR="00204593" w:rsidRPr="00465CA2">
        <w:rPr>
          <w:sz w:val="26"/>
          <w:szCs w:val="26"/>
          <w:lang w:val="ru-RU"/>
        </w:rPr>
        <w:t>ов</w:t>
      </w:r>
      <w:r w:rsidR="00FE1079" w:rsidRPr="00465CA2">
        <w:rPr>
          <w:sz w:val="26"/>
          <w:szCs w:val="26"/>
          <w:lang w:val="ru-RU"/>
        </w:rPr>
        <w:t xml:space="preserve"> решения задачи либерализации </w:t>
      </w:r>
      <w:r w:rsidR="00517D43">
        <w:rPr>
          <w:sz w:val="26"/>
          <w:szCs w:val="26"/>
          <w:lang w:val="ru-RU"/>
        </w:rPr>
        <w:t xml:space="preserve">регулирования </w:t>
      </w:r>
      <w:r w:rsidR="00FE1079" w:rsidRPr="00465CA2">
        <w:rPr>
          <w:sz w:val="26"/>
          <w:szCs w:val="26"/>
          <w:lang w:val="ru-RU"/>
        </w:rPr>
        <w:t>тарифов регистраторов</w:t>
      </w:r>
      <w:r w:rsidR="00204593" w:rsidRPr="00465CA2">
        <w:rPr>
          <w:sz w:val="26"/>
          <w:szCs w:val="26"/>
          <w:lang w:val="ru-RU"/>
        </w:rPr>
        <w:t>.</w:t>
      </w:r>
    </w:p>
    <w:p w14:paraId="7C2148F3" w14:textId="77777777" w:rsidR="00BB4DE7" w:rsidRPr="00465CA2" w:rsidRDefault="00BB4DE7" w:rsidP="00465CA2">
      <w:pPr>
        <w:pStyle w:val="a3"/>
        <w:tabs>
          <w:tab w:val="left" w:pos="284"/>
          <w:tab w:val="left" w:pos="709"/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</w:p>
    <w:p w14:paraId="23F87BDA" w14:textId="77777777" w:rsidR="00A25123" w:rsidRPr="00465CA2" w:rsidRDefault="00A25123" w:rsidP="00465CA2">
      <w:pPr>
        <w:pStyle w:val="a3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b/>
          <w:sz w:val="26"/>
          <w:szCs w:val="26"/>
          <w:lang w:val="ru-RU"/>
        </w:rPr>
      </w:pPr>
      <w:r w:rsidRPr="00465CA2">
        <w:rPr>
          <w:b/>
          <w:sz w:val="26"/>
          <w:szCs w:val="26"/>
          <w:lang w:val="ru-RU"/>
        </w:rPr>
        <w:t>Рассмотрение результатов апробации Методики</w:t>
      </w:r>
      <w:r w:rsidR="00204593" w:rsidRPr="00465CA2">
        <w:rPr>
          <w:b/>
          <w:sz w:val="26"/>
          <w:szCs w:val="26"/>
          <w:lang w:val="ru-RU"/>
        </w:rPr>
        <w:t xml:space="preserve"> оценки количественных и качественных показателей выгод и издержек при рассмотрении инициатив участников финансового рынка. </w:t>
      </w:r>
    </w:p>
    <w:p w14:paraId="0EB4317D" w14:textId="77777777" w:rsidR="00DF41C3" w:rsidRPr="00465CA2" w:rsidRDefault="00D23AD7" w:rsidP="00465CA2">
      <w:pPr>
        <w:pStyle w:val="a3"/>
        <w:tabs>
          <w:tab w:val="left" w:pos="284"/>
          <w:tab w:val="left" w:pos="709"/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465CA2">
        <w:rPr>
          <w:sz w:val="26"/>
          <w:szCs w:val="26"/>
          <w:lang w:val="ru-RU"/>
        </w:rPr>
        <w:t>Банк России</w:t>
      </w:r>
      <w:r w:rsidR="00DF41C3" w:rsidRPr="00465CA2">
        <w:rPr>
          <w:sz w:val="26"/>
          <w:szCs w:val="26"/>
          <w:lang w:val="ru-RU"/>
        </w:rPr>
        <w:t xml:space="preserve"> совместно с Аналитическим центром «Форум» представил общие подходы к разработке Методики </w:t>
      </w:r>
      <w:r w:rsidR="00204593" w:rsidRPr="00465CA2">
        <w:rPr>
          <w:sz w:val="26"/>
          <w:szCs w:val="26"/>
          <w:lang w:val="ru-RU"/>
        </w:rPr>
        <w:t>оценки количественных и качественных показателей выгод и издержек при рассмотрении инициатив участников финансового рынка (далее – Методика)</w:t>
      </w:r>
      <w:r w:rsidR="00204593" w:rsidRPr="00465CA2">
        <w:rPr>
          <w:b/>
          <w:sz w:val="26"/>
          <w:szCs w:val="26"/>
          <w:lang w:val="ru-RU"/>
        </w:rPr>
        <w:t xml:space="preserve"> </w:t>
      </w:r>
      <w:r w:rsidR="00DF41C3" w:rsidRPr="00465CA2">
        <w:rPr>
          <w:sz w:val="26"/>
          <w:szCs w:val="26"/>
          <w:lang w:val="ru-RU"/>
        </w:rPr>
        <w:t xml:space="preserve">и </w:t>
      </w:r>
      <w:r w:rsidR="00204593" w:rsidRPr="00465CA2">
        <w:rPr>
          <w:sz w:val="26"/>
          <w:szCs w:val="26"/>
          <w:lang w:val="ru-RU"/>
        </w:rPr>
        <w:t xml:space="preserve">результаты </w:t>
      </w:r>
      <w:r w:rsidR="00DF41C3" w:rsidRPr="00465CA2">
        <w:rPr>
          <w:sz w:val="26"/>
          <w:szCs w:val="26"/>
          <w:lang w:val="ru-RU"/>
        </w:rPr>
        <w:t xml:space="preserve">ее апробации на примере инициатив </w:t>
      </w:r>
      <w:r w:rsidR="00E409BE" w:rsidRPr="00465CA2">
        <w:rPr>
          <w:sz w:val="26"/>
          <w:szCs w:val="26"/>
          <w:lang w:val="ru-RU"/>
        </w:rPr>
        <w:t>№ 06-70 и № 09-33.</w:t>
      </w:r>
    </w:p>
    <w:p w14:paraId="31DB5357" w14:textId="77777777" w:rsidR="00A25123" w:rsidRDefault="00D23AD7" w:rsidP="00465CA2">
      <w:pPr>
        <w:pStyle w:val="a3"/>
        <w:tabs>
          <w:tab w:val="left" w:pos="284"/>
          <w:tab w:val="left" w:pos="709"/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465CA2">
        <w:rPr>
          <w:sz w:val="26"/>
          <w:szCs w:val="26"/>
          <w:lang w:val="ru-RU"/>
        </w:rPr>
        <w:t>Методика б</w:t>
      </w:r>
      <w:r w:rsidR="00DF41C3" w:rsidRPr="00465CA2">
        <w:rPr>
          <w:sz w:val="26"/>
          <w:szCs w:val="26"/>
          <w:lang w:val="ru-RU"/>
        </w:rPr>
        <w:t>ы</w:t>
      </w:r>
      <w:r w:rsidRPr="00465CA2">
        <w:rPr>
          <w:sz w:val="26"/>
          <w:szCs w:val="26"/>
          <w:lang w:val="ru-RU"/>
        </w:rPr>
        <w:t>ла разработана</w:t>
      </w:r>
      <w:r w:rsidR="00DF41C3" w:rsidRPr="00465CA2">
        <w:rPr>
          <w:sz w:val="26"/>
          <w:szCs w:val="26"/>
          <w:lang w:val="ru-RU"/>
        </w:rPr>
        <w:t xml:space="preserve"> по по</w:t>
      </w:r>
      <w:r w:rsidR="00204593" w:rsidRPr="00465CA2">
        <w:rPr>
          <w:sz w:val="26"/>
          <w:szCs w:val="26"/>
          <w:lang w:val="ru-RU"/>
        </w:rPr>
        <w:t>р</w:t>
      </w:r>
      <w:r w:rsidR="00DF41C3" w:rsidRPr="00465CA2">
        <w:rPr>
          <w:sz w:val="26"/>
          <w:szCs w:val="26"/>
          <w:lang w:val="ru-RU"/>
        </w:rPr>
        <w:t>учению Первого заместителя Председателя Банка России С.А.</w:t>
      </w:r>
      <w:r w:rsidR="00823845" w:rsidRPr="00465CA2">
        <w:rPr>
          <w:sz w:val="26"/>
          <w:szCs w:val="26"/>
          <w:lang w:val="ru-RU"/>
        </w:rPr>
        <w:t xml:space="preserve"> </w:t>
      </w:r>
      <w:r w:rsidR="00DF41C3" w:rsidRPr="00465CA2">
        <w:rPr>
          <w:sz w:val="26"/>
          <w:szCs w:val="26"/>
          <w:lang w:val="ru-RU"/>
        </w:rPr>
        <w:t xml:space="preserve">Швецова с целью </w:t>
      </w:r>
      <w:r w:rsidR="00C93712" w:rsidRPr="00465CA2">
        <w:rPr>
          <w:sz w:val="26"/>
          <w:szCs w:val="26"/>
          <w:lang w:val="ru-RU"/>
        </w:rPr>
        <w:t xml:space="preserve">оценки </w:t>
      </w:r>
      <w:r w:rsidR="00204593" w:rsidRPr="00465CA2">
        <w:rPr>
          <w:sz w:val="26"/>
          <w:szCs w:val="26"/>
          <w:lang w:val="ru-RU"/>
        </w:rPr>
        <w:t xml:space="preserve">возможного </w:t>
      </w:r>
      <w:r w:rsidR="00823845" w:rsidRPr="00465CA2">
        <w:rPr>
          <w:sz w:val="26"/>
          <w:szCs w:val="26"/>
          <w:lang w:val="ru-RU"/>
        </w:rPr>
        <w:t xml:space="preserve">снижения издержек участников рынка. </w:t>
      </w:r>
      <w:r w:rsidR="0038486B" w:rsidRPr="00465CA2">
        <w:rPr>
          <w:sz w:val="26"/>
          <w:szCs w:val="26"/>
          <w:lang w:val="ru-RU"/>
        </w:rPr>
        <w:t xml:space="preserve">В ряде случаев </w:t>
      </w:r>
      <w:r w:rsidR="00CC3618" w:rsidRPr="00465CA2">
        <w:rPr>
          <w:sz w:val="26"/>
          <w:szCs w:val="26"/>
          <w:lang w:val="ru-RU"/>
        </w:rPr>
        <w:t xml:space="preserve">поступающие в Аналитической центр «Форум» </w:t>
      </w:r>
      <w:r w:rsidR="0038486B" w:rsidRPr="00465CA2">
        <w:rPr>
          <w:sz w:val="26"/>
          <w:szCs w:val="26"/>
          <w:lang w:val="ru-RU"/>
        </w:rPr>
        <w:t>предложения участков рынка по снижению регуляторной нагрузк</w:t>
      </w:r>
      <w:r w:rsidR="001A4CDA" w:rsidRPr="00465CA2">
        <w:rPr>
          <w:sz w:val="26"/>
          <w:szCs w:val="26"/>
          <w:lang w:val="ru-RU"/>
        </w:rPr>
        <w:t>и не были достаточно обоснованы</w:t>
      </w:r>
      <w:r w:rsidR="00204593" w:rsidRPr="00465CA2">
        <w:rPr>
          <w:sz w:val="26"/>
          <w:szCs w:val="26"/>
          <w:lang w:val="ru-RU"/>
        </w:rPr>
        <w:t>, в связи с чем</w:t>
      </w:r>
      <w:r w:rsidR="001A4CDA" w:rsidRPr="00465CA2">
        <w:rPr>
          <w:sz w:val="26"/>
          <w:szCs w:val="26"/>
          <w:lang w:val="ru-RU"/>
        </w:rPr>
        <w:t xml:space="preserve"> </w:t>
      </w:r>
      <w:r w:rsidR="00C93712" w:rsidRPr="00465CA2">
        <w:rPr>
          <w:sz w:val="26"/>
          <w:szCs w:val="26"/>
          <w:lang w:val="ru-RU"/>
        </w:rPr>
        <w:t xml:space="preserve">возникла необходимость разработки </w:t>
      </w:r>
      <w:r w:rsidR="001A4CDA" w:rsidRPr="00465CA2">
        <w:rPr>
          <w:sz w:val="26"/>
          <w:szCs w:val="26"/>
          <w:lang w:val="ru-RU"/>
        </w:rPr>
        <w:t>Методик</w:t>
      </w:r>
      <w:r w:rsidR="00C93712" w:rsidRPr="00465CA2">
        <w:rPr>
          <w:sz w:val="26"/>
          <w:szCs w:val="26"/>
          <w:lang w:val="ru-RU"/>
        </w:rPr>
        <w:t>и</w:t>
      </w:r>
      <w:r w:rsidR="001A4CDA" w:rsidRPr="00465CA2">
        <w:rPr>
          <w:sz w:val="26"/>
          <w:szCs w:val="26"/>
          <w:lang w:val="ru-RU"/>
        </w:rPr>
        <w:t xml:space="preserve">, которая </w:t>
      </w:r>
      <w:r w:rsidR="00C93712" w:rsidRPr="00465CA2">
        <w:rPr>
          <w:sz w:val="26"/>
          <w:szCs w:val="26"/>
          <w:lang w:val="ru-RU"/>
        </w:rPr>
        <w:t xml:space="preserve">была бы </w:t>
      </w:r>
      <w:r w:rsidR="001A4CDA" w:rsidRPr="00465CA2">
        <w:rPr>
          <w:sz w:val="26"/>
          <w:szCs w:val="26"/>
          <w:lang w:val="ru-RU"/>
        </w:rPr>
        <w:t>достаточно проста, но позволя</w:t>
      </w:r>
      <w:r w:rsidR="00C93712" w:rsidRPr="00465CA2">
        <w:rPr>
          <w:sz w:val="26"/>
          <w:szCs w:val="26"/>
          <w:lang w:val="ru-RU"/>
        </w:rPr>
        <w:t>ла</w:t>
      </w:r>
      <w:r w:rsidR="001A4CDA" w:rsidRPr="00465CA2">
        <w:rPr>
          <w:sz w:val="26"/>
          <w:szCs w:val="26"/>
          <w:lang w:val="ru-RU"/>
        </w:rPr>
        <w:t xml:space="preserve"> получить оценки, </w:t>
      </w:r>
      <w:r w:rsidR="00C93712" w:rsidRPr="00465CA2">
        <w:rPr>
          <w:sz w:val="26"/>
          <w:szCs w:val="26"/>
          <w:lang w:val="ru-RU"/>
        </w:rPr>
        <w:t xml:space="preserve">пригодные для </w:t>
      </w:r>
      <w:r w:rsidR="001A4CDA" w:rsidRPr="00465CA2">
        <w:rPr>
          <w:sz w:val="26"/>
          <w:szCs w:val="26"/>
          <w:lang w:val="ru-RU"/>
        </w:rPr>
        <w:t>дальнейше</w:t>
      </w:r>
      <w:r w:rsidR="00C93712" w:rsidRPr="00465CA2">
        <w:rPr>
          <w:sz w:val="26"/>
          <w:szCs w:val="26"/>
          <w:lang w:val="ru-RU"/>
        </w:rPr>
        <w:t>го</w:t>
      </w:r>
      <w:r w:rsidR="001A4CDA" w:rsidRPr="00465CA2">
        <w:rPr>
          <w:sz w:val="26"/>
          <w:szCs w:val="26"/>
          <w:lang w:val="ru-RU"/>
        </w:rPr>
        <w:t xml:space="preserve"> использова</w:t>
      </w:r>
      <w:r w:rsidR="00C93712" w:rsidRPr="00465CA2">
        <w:rPr>
          <w:sz w:val="26"/>
          <w:szCs w:val="26"/>
          <w:lang w:val="ru-RU"/>
        </w:rPr>
        <w:t>ния.</w:t>
      </w:r>
    </w:p>
    <w:p w14:paraId="4618FCA8" w14:textId="77777777" w:rsidR="0076142D" w:rsidRPr="0076142D" w:rsidRDefault="0076142D" w:rsidP="0076142D">
      <w:pPr>
        <w:pStyle w:val="a3"/>
        <w:tabs>
          <w:tab w:val="left" w:pos="284"/>
          <w:tab w:val="left" w:pos="709"/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76142D">
        <w:rPr>
          <w:sz w:val="26"/>
          <w:szCs w:val="26"/>
          <w:lang w:val="ru-RU"/>
        </w:rPr>
        <w:t xml:space="preserve">7 августа 2020 г. Рабочей группой </w:t>
      </w:r>
      <w:r w:rsidR="005C2918">
        <w:rPr>
          <w:sz w:val="26"/>
          <w:szCs w:val="26"/>
          <w:lang w:val="ru-RU"/>
        </w:rPr>
        <w:t xml:space="preserve">было </w:t>
      </w:r>
      <w:r w:rsidRPr="0076142D">
        <w:rPr>
          <w:sz w:val="26"/>
          <w:szCs w:val="26"/>
          <w:lang w:val="ru-RU"/>
        </w:rPr>
        <w:t>поддержано предложение об апробации Методики и АЦ Форум поручено провести соответствующую оценку двух инициатив участников финансового рынка.</w:t>
      </w:r>
    </w:p>
    <w:p w14:paraId="47A1A0E2" w14:textId="77777777" w:rsidR="0076142D" w:rsidRDefault="0076142D" w:rsidP="00465CA2">
      <w:pPr>
        <w:tabs>
          <w:tab w:val="left" w:pos="284"/>
          <w:tab w:val="left" w:pos="709"/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</w:p>
    <w:p w14:paraId="1EA5CE81" w14:textId="77777777" w:rsidR="00E9354B" w:rsidRPr="00465CA2" w:rsidRDefault="00D201E6" w:rsidP="00465CA2">
      <w:pPr>
        <w:tabs>
          <w:tab w:val="left" w:pos="284"/>
          <w:tab w:val="left" w:pos="709"/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465CA2">
        <w:rPr>
          <w:sz w:val="26"/>
          <w:szCs w:val="26"/>
        </w:rPr>
        <w:t>В целом у</w:t>
      </w:r>
      <w:r w:rsidR="00C93712" w:rsidRPr="00465CA2">
        <w:rPr>
          <w:sz w:val="26"/>
          <w:szCs w:val="26"/>
        </w:rPr>
        <w:t xml:space="preserve">частники обсуждения оценили разработку Методики положительно, как важный шаг в направлении формирования системы комплексной оценки предлагаемых участниками рынка изменений регулирования. </w:t>
      </w:r>
      <w:r w:rsidRPr="00465CA2">
        <w:rPr>
          <w:sz w:val="26"/>
          <w:szCs w:val="26"/>
        </w:rPr>
        <w:t>При этом в</w:t>
      </w:r>
      <w:r w:rsidR="00A25123" w:rsidRPr="00465CA2">
        <w:rPr>
          <w:sz w:val="26"/>
          <w:szCs w:val="26"/>
        </w:rPr>
        <w:t xml:space="preserve"> ходе обсуждения участниками высказаны следующие основные замечания и предложения:</w:t>
      </w:r>
    </w:p>
    <w:p w14:paraId="59EFDA84" w14:textId="77777777" w:rsidR="00511F92" w:rsidRPr="00465CA2" w:rsidRDefault="00511F92" w:rsidP="00465CA2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sz w:val="26"/>
          <w:szCs w:val="26"/>
        </w:rPr>
      </w:pPr>
    </w:p>
    <w:p w14:paraId="619EE7DF" w14:textId="77777777" w:rsidR="00511F92" w:rsidRDefault="00511F92" w:rsidP="00465CA2">
      <w:pPr>
        <w:pStyle w:val="a3"/>
        <w:numPr>
          <w:ilvl w:val="1"/>
          <w:numId w:val="3"/>
        </w:numPr>
        <w:tabs>
          <w:tab w:val="left" w:pos="284"/>
          <w:tab w:val="left" w:pos="709"/>
          <w:tab w:val="left" w:pos="993"/>
        </w:tabs>
        <w:jc w:val="both"/>
        <w:rPr>
          <w:b/>
          <w:sz w:val="26"/>
          <w:szCs w:val="26"/>
        </w:rPr>
      </w:pPr>
      <w:r w:rsidRPr="00465CA2">
        <w:rPr>
          <w:b/>
          <w:sz w:val="26"/>
          <w:szCs w:val="26"/>
        </w:rPr>
        <w:t xml:space="preserve">Мультикритериальный анализ </w:t>
      </w:r>
    </w:p>
    <w:p w14:paraId="283241C3" w14:textId="77777777" w:rsidR="0076142D" w:rsidRDefault="0076142D" w:rsidP="0076142D">
      <w:pPr>
        <w:pStyle w:val="a3"/>
        <w:tabs>
          <w:tab w:val="left" w:pos="284"/>
          <w:tab w:val="left" w:pos="709"/>
          <w:tab w:val="left" w:pos="993"/>
        </w:tabs>
        <w:ind w:left="567"/>
        <w:jc w:val="both"/>
        <w:rPr>
          <w:sz w:val="26"/>
          <w:szCs w:val="26"/>
          <w:lang w:val="ru-RU"/>
        </w:rPr>
      </w:pPr>
    </w:p>
    <w:p w14:paraId="2B1190F6" w14:textId="77777777" w:rsidR="00AE01DC" w:rsidRPr="0076142D" w:rsidRDefault="0076142D" w:rsidP="0076142D">
      <w:pPr>
        <w:pStyle w:val="a3"/>
        <w:tabs>
          <w:tab w:val="left" w:pos="284"/>
          <w:tab w:val="left" w:pos="709"/>
          <w:tab w:val="left" w:pos="993"/>
        </w:tabs>
        <w:ind w:left="0" w:firstLine="567"/>
        <w:jc w:val="both"/>
        <w:rPr>
          <w:sz w:val="26"/>
          <w:szCs w:val="26"/>
          <w:lang w:val="ru-RU"/>
        </w:rPr>
      </w:pPr>
      <w:r w:rsidRPr="0076142D">
        <w:rPr>
          <w:sz w:val="26"/>
          <w:szCs w:val="26"/>
          <w:lang w:val="ru-RU"/>
        </w:rPr>
        <w:t>Основная часть замечаний участников рынка</w:t>
      </w:r>
      <w:r>
        <w:rPr>
          <w:sz w:val="26"/>
          <w:szCs w:val="26"/>
          <w:lang w:val="ru-RU"/>
        </w:rPr>
        <w:t xml:space="preserve"> к Методике</w:t>
      </w:r>
      <w:r w:rsidRPr="0076142D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касалась мультикритериального анализа, в первую очередь</w:t>
      </w:r>
      <w:r w:rsidR="00613ACD"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механизмов установлени</w:t>
      </w:r>
      <w:r w:rsidR="00613ACD">
        <w:rPr>
          <w:sz w:val="26"/>
          <w:szCs w:val="26"/>
          <w:lang w:val="ru-RU"/>
        </w:rPr>
        <w:t>я</w:t>
      </w:r>
      <w:r>
        <w:rPr>
          <w:sz w:val="26"/>
          <w:szCs w:val="26"/>
          <w:lang w:val="ru-RU"/>
        </w:rPr>
        <w:t xml:space="preserve"> весов и баллов. </w:t>
      </w:r>
    </w:p>
    <w:p w14:paraId="5BF2ECE8" w14:textId="77777777" w:rsidR="00511F92" w:rsidRPr="00465CA2" w:rsidRDefault="00511ABF" w:rsidP="00465CA2">
      <w:pPr>
        <w:tabs>
          <w:tab w:val="left" w:pos="284"/>
          <w:tab w:val="left" w:pos="709"/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465CA2">
        <w:rPr>
          <w:i/>
          <w:sz w:val="26"/>
          <w:szCs w:val="26"/>
        </w:rPr>
        <w:t xml:space="preserve">Порядок </w:t>
      </w:r>
      <w:r w:rsidR="00413140" w:rsidRPr="00465CA2">
        <w:rPr>
          <w:i/>
          <w:sz w:val="26"/>
          <w:szCs w:val="26"/>
        </w:rPr>
        <w:t>установления весов критериев.</w:t>
      </w:r>
      <w:r w:rsidR="00413140" w:rsidRPr="00465CA2">
        <w:rPr>
          <w:sz w:val="26"/>
          <w:szCs w:val="26"/>
        </w:rPr>
        <w:t xml:space="preserve"> </w:t>
      </w:r>
    </w:p>
    <w:p w14:paraId="11775B53" w14:textId="77777777" w:rsidR="008819E8" w:rsidRPr="00465CA2" w:rsidRDefault="000F11C7" w:rsidP="00465CA2">
      <w:pPr>
        <w:tabs>
          <w:tab w:val="left" w:pos="284"/>
          <w:tab w:val="left" w:pos="709"/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465CA2">
        <w:rPr>
          <w:sz w:val="26"/>
          <w:szCs w:val="26"/>
        </w:rPr>
        <w:t xml:space="preserve">Участники </w:t>
      </w:r>
      <w:r w:rsidR="00511F92" w:rsidRPr="00465CA2">
        <w:rPr>
          <w:sz w:val="26"/>
          <w:szCs w:val="26"/>
        </w:rPr>
        <w:t xml:space="preserve">обсуждения </w:t>
      </w:r>
      <w:r w:rsidR="000043E3" w:rsidRPr="00465CA2">
        <w:rPr>
          <w:sz w:val="26"/>
          <w:szCs w:val="26"/>
        </w:rPr>
        <w:t xml:space="preserve">отметили результат мультикритериального анализа </w:t>
      </w:r>
      <w:r w:rsidR="00C93712" w:rsidRPr="00465CA2">
        <w:rPr>
          <w:sz w:val="26"/>
          <w:szCs w:val="26"/>
        </w:rPr>
        <w:t xml:space="preserve">в рамках </w:t>
      </w:r>
      <w:r w:rsidR="000043E3" w:rsidRPr="00465CA2">
        <w:rPr>
          <w:sz w:val="26"/>
          <w:szCs w:val="26"/>
        </w:rPr>
        <w:t xml:space="preserve">инициативы </w:t>
      </w:r>
      <w:r w:rsidR="00E409BE" w:rsidRPr="00465CA2">
        <w:rPr>
          <w:sz w:val="26"/>
          <w:szCs w:val="26"/>
        </w:rPr>
        <w:t xml:space="preserve">№ </w:t>
      </w:r>
      <w:r w:rsidR="000043E3" w:rsidRPr="00465CA2">
        <w:rPr>
          <w:sz w:val="26"/>
          <w:szCs w:val="26"/>
        </w:rPr>
        <w:t xml:space="preserve">06-70, в котором была установлена </w:t>
      </w:r>
      <w:r w:rsidR="00C93712" w:rsidRPr="00465CA2">
        <w:rPr>
          <w:sz w:val="26"/>
          <w:szCs w:val="26"/>
        </w:rPr>
        <w:t>единственная</w:t>
      </w:r>
      <w:r w:rsidR="000043E3" w:rsidRPr="00465CA2">
        <w:rPr>
          <w:sz w:val="26"/>
          <w:szCs w:val="26"/>
        </w:rPr>
        <w:t xml:space="preserve"> цель регулирования</w:t>
      </w:r>
      <w:r w:rsidR="007863DF" w:rsidRPr="00465CA2">
        <w:rPr>
          <w:sz w:val="26"/>
          <w:szCs w:val="26"/>
        </w:rPr>
        <w:t xml:space="preserve"> с весом </w:t>
      </w:r>
      <w:r w:rsidR="000043E3" w:rsidRPr="00465CA2">
        <w:rPr>
          <w:sz w:val="26"/>
          <w:szCs w:val="26"/>
        </w:rPr>
        <w:t xml:space="preserve">80%. Это предрешило исход анализа, показавшего, что наилучшим вариантом является сохранение действующего регулирования. </w:t>
      </w:r>
      <w:r w:rsidR="00C8451D" w:rsidRPr="00465CA2">
        <w:rPr>
          <w:sz w:val="26"/>
          <w:szCs w:val="26"/>
        </w:rPr>
        <w:t xml:space="preserve">Фактически, большой вес одного из критериев </w:t>
      </w:r>
      <w:r w:rsidR="00C93712" w:rsidRPr="00465CA2">
        <w:rPr>
          <w:sz w:val="26"/>
          <w:szCs w:val="26"/>
        </w:rPr>
        <w:t>сделал</w:t>
      </w:r>
      <w:r w:rsidR="00C8451D" w:rsidRPr="00465CA2">
        <w:rPr>
          <w:sz w:val="26"/>
          <w:szCs w:val="26"/>
        </w:rPr>
        <w:t xml:space="preserve"> остальные критерии незначимыми. Исходя из имеющейся на рынке практики, участниками предложено рассмотреть следующие варианты: </w:t>
      </w:r>
    </w:p>
    <w:p w14:paraId="2AF726DE" w14:textId="77777777" w:rsidR="00A25123" w:rsidRPr="00465CA2" w:rsidRDefault="00C93712" w:rsidP="00465CA2">
      <w:pPr>
        <w:pStyle w:val="a3"/>
        <w:tabs>
          <w:tab w:val="left" w:pos="284"/>
          <w:tab w:val="left" w:pos="709"/>
          <w:tab w:val="left" w:pos="993"/>
        </w:tabs>
        <w:ind w:left="0" w:firstLine="567"/>
        <w:jc w:val="both"/>
        <w:rPr>
          <w:sz w:val="26"/>
          <w:szCs w:val="26"/>
          <w:lang w:val="ru-RU"/>
        </w:rPr>
      </w:pPr>
      <w:r w:rsidRPr="00465CA2">
        <w:rPr>
          <w:sz w:val="26"/>
          <w:szCs w:val="26"/>
          <w:lang w:val="ru-RU"/>
        </w:rPr>
        <w:t xml:space="preserve">устанавливать </w:t>
      </w:r>
      <w:r w:rsidR="008819E8" w:rsidRPr="00465CA2">
        <w:rPr>
          <w:sz w:val="26"/>
          <w:szCs w:val="26"/>
          <w:lang w:val="ru-RU"/>
        </w:rPr>
        <w:t>минимальное количество оцениваемых критериев (как вариант – минимальное количество целей);</w:t>
      </w:r>
    </w:p>
    <w:p w14:paraId="669AD076" w14:textId="77777777" w:rsidR="008819E8" w:rsidRPr="00465CA2" w:rsidRDefault="00C93712" w:rsidP="00465CA2">
      <w:pPr>
        <w:pStyle w:val="a3"/>
        <w:tabs>
          <w:tab w:val="left" w:pos="284"/>
          <w:tab w:val="left" w:pos="709"/>
          <w:tab w:val="left" w:pos="993"/>
        </w:tabs>
        <w:ind w:left="0" w:firstLine="567"/>
        <w:jc w:val="both"/>
        <w:rPr>
          <w:sz w:val="26"/>
          <w:szCs w:val="26"/>
          <w:lang w:val="ru-RU"/>
        </w:rPr>
      </w:pPr>
      <w:r w:rsidRPr="00465CA2">
        <w:rPr>
          <w:sz w:val="26"/>
          <w:szCs w:val="26"/>
          <w:lang w:val="ru-RU"/>
        </w:rPr>
        <w:t xml:space="preserve">устанавливать </w:t>
      </w:r>
      <w:r w:rsidR="008819E8" w:rsidRPr="00465CA2">
        <w:rPr>
          <w:sz w:val="26"/>
          <w:szCs w:val="26"/>
          <w:lang w:val="ru-RU"/>
        </w:rPr>
        <w:t>максимальный вес о</w:t>
      </w:r>
      <w:r w:rsidR="00AC514F" w:rsidRPr="00465CA2">
        <w:rPr>
          <w:sz w:val="26"/>
          <w:szCs w:val="26"/>
          <w:lang w:val="ru-RU"/>
        </w:rPr>
        <w:t>дного критерия (например, 25%);</w:t>
      </w:r>
    </w:p>
    <w:p w14:paraId="5C3C3973" w14:textId="77777777" w:rsidR="00AC514F" w:rsidRPr="00465CA2" w:rsidRDefault="00D201E6" w:rsidP="00465CA2">
      <w:pPr>
        <w:pStyle w:val="a3"/>
        <w:tabs>
          <w:tab w:val="left" w:pos="284"/>
          <w:tab w:val="left" w:pos="709"/>
          <w:tab w:val="left" w:pos="993"/>
        </w:tabs>
        <w:ind w:left="0" w:firstLine="567"/>
        <w:jc w:val="both"/>
        <w:rPr>
          <w:sz w:val="26"/>
          <w:szCs w:val="26"/>
          <w:lang w:val="ru-RU"/>
        </w:rPr>
      </w:pPr>
      <w:r w:rsidRPr="00465CA2">
        <w:rPr>
          <w:sz w:val="26"/>
          <w:szCs w:val="26"/>
          <w:lang w:val="ru-RU"/>
        </w:rPr>
        <w:t>не примен</w:t>
      </w:r>
      <w:r w:rsidR="00C93712" w:rsidRPr="00465CA2">
        <w:rPr>
          <w:sz w:val="26"/>
          <w:szCs w:val="26"/>
          <w:lang w:val="ru-RU"/>
        </w:rPr>
        <w:t>ять</w:t>
      </w:r>
      <w:r w:rsidR="00AC514F" w:rsidRPr="00465CA2">
        <w:rPr>
          <w:sz w:val="26"/>
          <w:szCs w:val="26"/>
          <w:lang w:val="ru-RU"/>
        </w:rPr>
        <w:t xml:space="preserve"> мультикритериальн</w:t>
      </w:r>
      <w:r w:rsidR="00C93712" w:rsidRPr="00465CA2">
        <w:rPr>
          <w:sz w:val="26"/>
          <w:szCs w:val="26"/>
          <w:lang w:val="ru-RU"/>
        </w:rPr>
        <w:t>ый</w:t>
      </w:r>
      <w:r w:rsidR="00AC514F" w:rsidRPr="00465CA2">
        <w:rPr>
          <w:sz w:val="26"/>
          <w:szCs w:val="26"/>
          <w:lang w:val="ru-RU"/>
        </w:rPr>
        <w:t xml:space="preserve"> анализ при установлении веса одного из критериев более 50%.</w:t>
      </w:r>
    </w:p>
    <w:p w14:paraId="0D74D0EA" w14:textId="77777777" w:rsidR="00511F92" w:rsidRPr="00465CA2" w:rsidRDefault="00511F92" w:rsidP="00465CA2">
      <w:pPr>
        <w:tabs>
          <w:tab w:val="left" w:pos="284"/>
          <w:tab w:val="left" w:pos="709"/>
          <w:tab w:val="left" w:pos="993"/>
        </w:tabs>
        <w:spacing w:after="0" w:line="240" w:lineRule="auto"/>
        <w:ind w:firstLine="567"/>
        <w:jc w:val="both"/>
        <w:rPr>
          <w:i/>
          <w:sz w:val="26"/>
          <w:szCs w:val="26"/>
        </w:rPr>
      </w:pPr>
    </w:p>
    <w:p w14:paraId="557F5635" w14:textId="77777777" w:rsidR="00511F92" w:rsidRPr="00465CA2" w:rsidRDefault="00CE0225" w:rsidP="00465CA2">
      <w:pPr>
        <w:tabs>
          <w:tab w:val="left" w:pos="284"/>
          <w:tab w:val="left" w:pos="709"/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465CA2">
        <w:rPr>
          <w:i/>
          <w:sz w:val="26"/>
          <w:szCs w:val="26"/>
        </w:rPr>
        <w:t xml:space="preserve">Экспертность </w:t>
      </w:r>
      <w:r w:rsidR="00204593" w:rsidRPr="00465CA2">
        <w:rPr>
          <w:i/>
          <w:sz w:val="26"/>
          <w:szCs w:val="26"/>
        </w:rPr>
        <w:t xml:space="preserve">при </w:t>
      </w:r>
      <w:r w:rsidRPr="00465CA2">
        <w:rPr>
          <w:i/>
          <w:sz w:val="26"/>
          <w:szCs w:val="26"/>
        </w:rPr>
        <w:t>установлени</w:t>
      </w:r>
      <w:r w:rsidR="00204593" w:rsidRPr="00465CA2">
        <w:rPr>
          <w:i/>
          <w:sz w:val="26"/>
          <w:szCs w:val="26"/>
        </w:rPr>
        <w:t>и</w:t>
      </w:r>
      <w:r w:rsidRPr="00465CA2">
        <w:rPr>
          <w:i/>
          <w:sz w:val="26"/>
          <w:szCs w:val="26"/>
        </w:rPr>
        <w:t xml:space="preserve"> весо</w:t>
      </w:r>
      <w:r w:rsidR="00C93712" w:rsidRPr="00465CA2">
        <w:rPr>
          <w:i/>
          <w:sz w:val="26"/>
          <w:szCs w:val="26"/>
        </w:rPr>
        <w:t>в</w:t>
      </w:r>
      <w:r w:rsidRPr="00465CA2">
        <w:rPr>
          <w:i/>
          <w:sz w:val="26"/>
          <w:szCs w:val="26"/>
        </w:rPr>
        <w:t xml:space="preserve"> и баллов.</w:t>
      </w:r>
      <w:r w:rsidRPr="00465CA2">
        <w:rPr>
          <w:sz w:val="26"/>
          <w:szCs w:val="26"/>
        </w:rPr>
        <w:t xml:space="preserve"> </w:t>
      </w:r>
    </w:p>
    <w:p w14:paraId="111B07BF" w14:textId="77777777" w:rsidR="000438EA" w:rsidRPr="00465CA2" w:rsidRDefault="00E0270D" w:rsidP="00465CA2">
      <w:pPr>
        <w:tabs>
          <w:tab w:val="left" w:pos="284"/>
          <w:tab w:val="left" w:pos="709"/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465CA2">
        <w:rPr>
          <w:sz w:val="26"/>
          <w:szCs w:val="26"/>
        </w:rPr>
        <w:t xml:space="preserve">Участники </w:t>
      </w:r>
      <w:r w:rsidR="00125A60" w:rsidRPr="00465CA2">
        <w:rPr>
          <w:sz w:val="26"/>
          <w:szCs w:val="26"/>
        </w:rPr>
        <w:t xml:space="preserve">обсуждения </w:t>
      </w:r>
      <w:r w:rsidRPr="00465CA2">
        <w:rPr>
          <w:sz w:val="26"/>
          <w:szCs w:val="26"/>
        </w:rPr>
        <w:t>обратили внимание на то, что результаты мультикритериального анализа могут заметно различаться в зависимости от того, кто выставляет баллы и веса</w:t>
      </w:r>
      <w:r w:rsidR="00C93712" w:rsidRPr="00465CA2">
        <w:rPr>
          <w:sz w:val="26"/>
          <w:szCs w:val="26"/>
        </w:rPr>
        <w:t xml:space="preserve"> (</w:t>
      </w:r>
      <w:r w:rsidRPr="00465CA2">
        <w:rPr>
          <w:sz w:val="26"/>
          <w:szCs w:val="26"/>
        </w:rPr>
        <w:t xml:space="preserve">инициатор, участники рынка, </w:t>
      </w:r>
      <w:r w:rsidR="00C93712" w:rsidRPr="00465CA2">
        <w:rPr>
          <w:sz w:val="26"/>
          <w:szCs w:val="26"/>
        </w:rPr>
        <w:t>регулятор</w:t>
      </w:r>
      <w:r w:rsidRPr="00465CA2">
        <w:rPr>
          <w:sz w:val="26"/>
          <w:szCs w:val="26"/>
        </w:rPr>
        <w:t>)</w:t>
      </w:r>
      <w:r w:rsidR="00C93712" w:rsidRPr="00465CA2">
        <w:rPr>
          <w:sz w:val="26"/>
          <w:szCs w:val="26"/>
        </w:rPr>
        <w:t xml:space="preserve">. Также </w:t>
      </w:r>
      <w:r w:rsidRPr="00465CA2">
        <w:rPr>
          <w:sz w:val="26"/>
          <w:szCs w:val="26"/>
        </w:rPr>
        <w:t>в ряде случае</w:t>
      </w:r>
      <w:r w:rsidR="00613ACD">
        <w:rPr>
          <w:sz w:val="26"/>
          <w:szCs w:val="26"/>
        </w:rPr>
        <w:t>в</w:t>
      </w:r>
      <w:r w:rsidRPr="00465CA2">
        <w:rPr>
          <w:sz w:val="26"/>
          <w:szCs w:val="26"/>
        </w:rPr>
        <w:t xml:space="preserve"> присутствует конфликт интересов</w:t>
      </w:r>
      <w:r w:rsidR="00511F92" w:rsidRPr="00465CA2">
        <w:rPr>
          <w:sz w:val="26"/>
          <w:szCs w:val="26"/>
        </w:rPr>
        <w:t xml:space="preserve">, когда веса и баллы могут интуитивно подбираться под «справедливый» результат. </w:t>
      </w:r>
      <w:r w:rsidRPr="00465CA2">
        <w:rPr>
          <w:sz w:val="26"/>
          <w:szCs w:val="26"/>
        </w:rPr>
        <w:t xml:space="preserve">Предложено </w:t>
      </w:r>
      <w:r w:rsidR="00441891" w:rsidRPr="00465CA2">
        <w:rPr>
          <w:sz w:val="26"/>
          <w:szCs w:val="26"/>
        </w:rPr>
        <w:t>рассмотреть возможность</w:t>
      </w:r>
      <w:r w:rsidR="000438EA" w:rsidRPr="00465CA2">
        <w:rPr>
          <w:sz w:val="26"/>
          <w:szCs w:val="26"/>
        </w:rPr>
        <w:t xml:space="preserve"> выставления весов и баллов:</w:t>
      </w:r>
    </w:p>
    <w:p w14:paraId="5504F1B8" w14:textId="77777777" w:rsidR="000438EA" w:rsidRPr="00465CA2" w:rsidRDefault="00441891" w:rsidP="00465CA2">
      <w:pPr>
        <w:tabs>
          <w:tab w:val="left" w:pos="284"/>
          <w:tab w:val="left" w:pos="709"/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465CA2">
        <w:rPr>
          <w:sz w:val="26"/>
          <w:szCs w:val="26"/>
        </w:rPr>
        <w:t>независимыми лицами, не связанными с последующ</w:t>
      </w:r>
      <w:r w:rsidR="000438EA" w:rsidRPr="00465CA2">
        <w:rPr>
          <w:sz w:val="26"/>
          <w:szCs w:val="26"/>
        </w:rPr>
        <w:t>им исполнением данного решения;</w:t>
      </w:r>
    </w:p>
    <w:p w14:paraId="39B9F6B0" w14:textId="77777777" w:rsidR="00CE0225" w:rsidRPr="00465CA2" w:rsidRDefault="00FE0817" w:rsidP="00465CA2">
      <w:pPr>
        <w:tabs>
          <w:tab w:val="left" w:pos="284"/>
          <w:tab w:val="left" w:pos="709"/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465CA2">
        <w:rPr>
          <w:sz w:val="26"/>
          <w:szCs w:val="26"/>
        </w:rPr>
        <w:t>путем</w:t>
      </w:r>
      <w:r w:rsidR="000438EA" w:rsidRPr="00465CA2">
        <w:rPr>
          <w:sz w:val="26"/>
          <w:szCs w:val="26"/>
        </w:rPr>
        <w:t xml:space="preserve"> экспертн</w:t>
      </w:r>
      <w:r w:rsidRPr="00465CA2">
        <w:rPr>
          <w:sz w:val="26"/>
          <w:szCs w:val="26"/>
        </w:rPr>
        <w:t>ого</w:t>
      </w:r>
      <w:r w:rsidR="000438EA" w:rsidRPr="00465CA2">
        <w:rPr>
          <w:sz w:val="26"/>
          <w:szCs w:val="26"/>
        </w:rPr>
        <w:t xml:space="preserve"> опрос</w:t>
      </w:r>
      <w:r w:rsidRPr="00465CA2">
        <w:rPr>
          <w:sz w:val="26"/>
          <w:szCs w:val="26"/>
        </w:rPr>
        <w:t>а</w:t>
      </w:r>
      <w:r w:rsidR="000438EA" w:rsidRPr="00465CA2">
        <w:rPr>
          <w:sz w:val="26"/>
          <w:szCs w:val="26"/>
        </w:rPr>
        <w:t>, в котором могут принимать участи</w:t>
      </w:r>
      <w:r w:rsidR="00613ACD">
        <w:rPr>
          <w:sz w:val="26"/>
          <w:szCs w:val="26"/>
        </w:rPr>
        <w:t>е</w:t>
      </w:r>
      <w:r w:rsidR="000438EA" w:rsidRPr="00465CA2">
        <w:rPr>
          <w:sz w:val="26"/>
          <w:szCs w:val="26"/>
        </w:rPr>
        <w:t xml:space="preserve"> </w:t>
      </w:r>
      <w:r w:rsidRPr="00465CA2">
        <w:rPr>
          <w:sz w:val="26"/>
          <w:szCs w:val="26"/>
        </w:rPr>
        <w:t>все типы участник</w:t>
      </w:r>
      <w:r w:rsidR="00511ABF" w:rsidRPr="00465CA2">
        <w:rPr>
          <w:sz w:val="26"/>
          <w:szCs w:val="26"/>
        </w:rPr>
        <w:t>ов регулирования.</w:t>
      </w:r>
    </w:p>
    <w:p w14:paraId="2E39856C" w14:textId="77777777" w:rsidR="00956D40" w:rsidRPr="00465CA2" w:rsidRDefault="00956D40" w:rsidP="00465CA2">
      <w:pPr>
        <w:tabs>
          <w:tab w:val="left" w:pos="284"/>
          <w:tab w:val="left" w:pos="709"/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465CA2">
        <w:rPr>
          <w:sz w:val="26"/>
          <w:szCs w:val="26"/>
        </w:rPr>
        <w:t>Банк России отметил трудности, связанные с поиском экспертов, равноудаленных от регулятора и пр</w:t>
      </w:r>
      <w:r w:rsidR="00511F92" w:rsidRPr="00465CA2">
        <w:rPr>
          <w:sz w:val="26"/>
          <w:szCs w:val="26"/>
        </w:rPr>
        <w:t>офессиональны</w:t>
      </w:r>
      <w:r w:rsidR="0093596D" w:rsidRPr="00465CA2">
        <w:rPr>
          <w:sz w:val="26"/>
          <w:szCs w:val="26"/>
        </w:rPr>
        <w:t>х участников рынка ценных бумаг - р</w:t>
      </w:r>
      <w:r w:rsidRPr="00465CA2">
        <w:rPr>
          <w:sz w:val="26"/>
          <w:szCs w:val="26"/>
        </w:rPr>
        <w:t xml:space="preserve">егулятор в данном случае </w:t>
      </w:r>
      <w:r w:rsidR="00D23AD7" w:rsidRPr="00465CA2">
        <w:rPr>
          <w:sz w:val="26"/>
          <w:szCs w:val="26"/>
        </w:rPr>
        <w:t xml:space="preserve">также может выступить таким лицом и </w:t>
      </w:r>
      <w:r w:rsidRPr="00465CA2">
        <w:rPr>
          <w:sz w:val="26"/>
          <w:szCs w:val="26"/>
        </w:rPr>
        <w:t>оцени</w:t>
      </w:r>
      <w:r w:rsidR="003F3CAC" w:rsidRPr="00465CA2">
        <w:rPr>
          <w:sz w:val="26"/>
          <w:szCs w:val="26"/>
        </w:rPr>
        <w:t>вать</w:t>
      </w:r>
      <w:r w:rsidRPr="00465CA2">
        <w:rPr>
          <w:sz w:val="26"/>
          <w:szCs w:val="26"/>
        </w:rPr>
        <w:t xml:space="preserve"> интересы как поднадзорных организаций, так и </w:t>
      </w:r>
      <w:r w:rsidR="00511F92" w:rsidRPr="00465CA2">
        <w:rPr>
          <w:sz w:val="26"/>
          <w:szCs w:val="26"/>
        </w:rPr>
        <w:t>потребителей</w:t>
      </w:r>
      <w:r w:rsidR="00D23AD7" w:rsidRPr="00465CA2">
        <w:rPr>
          <w:sz w:val="26"/>
          <w:szCs w:val="26"/>
        </w:rPr>
        <w:t xml:space="preserve"> финансовых услуг. </w:t>
      </w:r>
    </w:p>
    <w:p w14:paraId="6FC03EA6" w14:textId="77777777" w:rsidR="00511F92" w:rsidRPr="00465CA2" w:rsidRDefault="00511F92" w:rsidP="00465CA2">
      <w:pPr>
        <w:tabs>
          <w:tab w:val="left" w:pos="284"/>
          <w:tab w:val="left" w:pos="709"/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</w:p>
    <w:p w14:paraId="3D304BE8" w14:textId="77777777" w:rsidR="00511F92" w:rsidRPr="00465CA2" w:rsidRDefault="00511F92" w:rsidP="00465CA2">
      <w:pPr>
        <w:tabs>
          <w:tab w:val="left" w:pos="284"/>
          <w:tab w:val="left" w:pos="709"/>
          <w:tab w:val="left" w:pos="993"/>
        </w:tabs>
        <w:spacing w:after="0" w:line="240" w:lineRule="auto"/>
        <w:ind w:firstLine="567"/>
        <w:jc w:val="both"/>
        <w:rPr>
          <w:i/>
          <w:sz w:val="26"/>
          <w:szCs w:val="26"/>
        </w:rPr>
      </w:pPr>
      <w:r w:rsidRPr="00465CA2">
        <w:rPr>
          <w:i/>
          <w:sz w:val="26"/>
          <w:szCs w:val="26"/>
        </w:rPr>
        <w:t>Состав критериев.</w:t>
      </w:r>
    </w:p>
    <w:p w14:paraId="00DCE8D0" w14:textId="77777777" w:rsidR="00511F92" w:rsidRPr="00465CA2" w:rsidRDefault="00511F92" w:rsidP="00465CA2">
      <w:pPr>
        <w:tabs>
          <w:tab w:val="left" w:pos="284"/>
          <w:tab w:val="left" w:pos="709"/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465CA2">
        <w:rPr>
          <w:sz w:val="26"/>
          <w:szCs w:val="26"/>
        </w:rPr>
        <w:t xml:space="preserve">Предложено рассмотреть возможность гибкого подхода к составу критериев в рамках мультикритериального анализа, который позволил бы учитывать только факторы, оказывающие влияние. Приведен пример критериев «конкуренции» и «замещения» в инициативе </w:t>
      </w:r>
      <w:r w:rsidR="00E409BE" w:rsidRPr="00465CA2">
        <w:rPr>
          <w:sz w:val="26"/>
          <w:szCs w:val="26"/>
        </w:rPr>
        <w:t xml:space="preserve">№ </w:t>
      </w:r>
      <w:r w:rsidR="003F3CAC" w:rsidRPr="00465CA2">
        <w:rPr>
          <w:sz w:val="26"/>
          <w:szCs w:val="26"/>
        </w:rPr>
        <w:t>06-70, которые имеют вес</w:t>
      </w:r>
      <w:r w:rsidRPr="00465CA2">
        <w:rPr>
          <w:sz w:val="26"/>
          <w:szCs w:val="26"/>
        </w:rPr>
        <w:t xml:space="preserve"> 5%, но которым выставлено по 0 баллов как незначимым – данные критерии целесообразно было бы вовсе исключить из анализа. </w:t>
      </w:r>
    </w:p>
    <w:p w14:paraId="35DC2BC2" w14:textId="77777777" w:rsidR="00511F92" w:rsidRDefault="00511F92" w:rsidP="00465CA2">
      <w:pPr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465CA2">
        <w:rPr>
          <w:sz w:val="26"/>
          <w:szCs w:val="26"/>
        </w:rPr>
        <w:t>Также предложено дополнить состав критериев критерием стабильности и предсказуемости регулирования, а также критерием влияния регулировани</w:t>
      </w:r>
      <w:r w:rsidR="0093596D" w:rsidRPr="00465CA2">
        <w:rPr>
          <w:sz w:val="26"/>
          <w:szCs w:val="26"/>
        </w:rPr>
        <w:t>я</w:t>
      </w:r>
      <w:r w:rsidRPr="00465CA2">
        <w:rPr>
          <w:sz w:val="26"/>
          <w:szCs w:val="26"/>
        </w:rPr>
        <w:t xml:space="preserve"> на развити</w:t>
      </w:r>
      <w:r w:rsidR="0093596D" w:rsidRPr="00465CA2">
        <w:rPr>
          <w:sz w:val="26"/>
          <w:szCs w:val="26"/>
        </w:rPr>
        <w:t>е</w:t>
      </w:r>
      <w:r w:rsidRPr="00465CA2">
        <w:rPr>
          <w:sz w:val="26"/>
          <w:szCs w:val="26"/>
        </w:rPr>
        <w:t xml:space="preserve"> рынка в целом. </w:t>
      </w:r>
    </w:p>
    <w:p w14:paraId="5A879428" w14:textId="77777777" w:rsidR="00AE01DC" w:rsidRPr="00465CA2" w:rsidRDefault="00AE01DC" w:rsidP="00465CA2">
      <w:pPr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</w:p>
    <w:p w14:paraId="1E4BB04E" w14:textId="77777777" w:rsidR="00511F92" w:rsidRPr="0076142D" w:rsidRDefault="00511F92" w:rsidP="00465CA2">
      <w:pPr>
        <w:pStyle w:val="a3"/>
        <w:numPr>
          <w:ilvl w:val="1"/>
          <w:numId w:val="3"/>
        </w:numPr>
        <w:tabs>
          <w:tab w:val="left" w:pos="284"/>
          <w:tab w:val="left" w:pos="709"/>
          <w:tab w:val="left" w:pos="993"/>
        </w:tabs>
        <w:jc w:val="both"/>
        <w:rPr>
          <w:b/>
          <w:sz w:val="26"/>
          <w:szCs w:val="26"/>
        </w:rPr>
      </w:pPr>
      <w:r w:rsidRPr="00465CA2">
        <w:rPr>
          <w:b/>
          <w:sz w:val="26"/>
          <w:szCs w:val="26"/>
          <w:lang w:val="ru-RU"/>
        </w:rPr>
        <w:lastRenderedPageBreak/>
        <w:t xml:space="preserve"> Оценка выгод и издержек</w:t>
      </w:r>
    </w:p>
    <w:p w14:paraId="58B757C8" w14:textId="77777777" w:rsidR="0076142D" w:rsidRPr="0076142D" w:rsidRDefault="0076142D" w:rsidP="0076142D">
      <w:pPr>
        <w:pStyle w:val="a3"/>
        <w:tabs>
          <w:tab w:val="left" w:pos="284"/>
          <w:tab w:val="left" w:pos="709"/>
          <w:tab w:val="left" w:pos="993"/>
        </w:tabs>
        <w:ind w:left="0" w:firstLine="567"/>
        <w:jc w:val="both"/>
        <w:rPr>
          <w:sz w:val="26"/>
          <w:szCs w:val="26"/>
          <w:lang w:val="ru-RU"/>
        </w:rPr>
      </w:pPr>
      <w:r w:rsidRPr="0076142D">
        <w:rPr>
          <w:sz w:val="26"/>
          <w:szCs w:val="26"/>
          <w:lang w:val="ru-RU"/>
        </w:rPr>
        <w:t xml:space="preserve">Отдельные замечания, носящие в основном технический характер, были высказаны и в отношении механизмов оценки выгод и издержек участников рынка: </w:t>
      </w:r>
    </w:p>
    <w:p w14:paraId="0CAF7D62" w14:textId="77777777" w:rsidR="00AC514F" w:rsidRPr="00465CA2" w:rsidRDefault="00511F92" w:rsidP="00465CA2">
      <w:pPr>
        <w:tabs>
          <w:tab w:val="left" w:pos="284"/>
          <w:tab w:val="left" w:pos="709"/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465CA2">
        <w:rPr>
          <w:sz w:val="26"/>
          <w:szCs w:val="26"/>
        </w:rPr>
        <w:t>в</w:t>
      </w:r>
      <w:r w:rsidR="0029187D" w:rsidRPr="00465CA2">
        <w:rPr>
          <w:sz w:val="26"/>
          <w:szCs w:val="26"/>
        </w:rPr>
        <w:t xml:space="preserve"> составе расходов на персонал и накладных расходов необходимо учесть налоги и отчисления во внебюджетные фонды, а также расходы на аренду помещения </w:t>
      </w:r>
      <w:r w:rsidR="0093596D" w:rsidRPr="00465CA2">
        <w:rPr>
          <w:sz w:val="26"/>
          <w:szCs w:val="26"/>
        </w:rPr>
        <w:t>и др.;</w:t>
      </w:r>
    </w:p>
    <w:p w14:paraId="4369D764" w14:textId="77777777" w:rsidR="000469C9" w:rsidRPr="00465CA2" w:rsidRDefault="00511F92" w:rsidP="00465CA2">
      <w:pPr>
        <w:tabs>
          <w:tab w:val="left" w:pos="284"/>
          <w:tab w:val="left" w:pos="709"/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465CA2">
        <w:rPr>
          <w:sz w:val="26"/>
          <w:szCs w:val="26"/>
        </w:rPr>
        <w:t>в</w:t>
      </w:r>
      <w:r w:rsidR="007863DF" w:rsidRPr="00465CA2">
        <w:rPr>
          <w:sz w:val="26"/>
          <w:szCs w:val="26"/>
        </w:rPr>
        <w:t xml:space="preserve"> инициативе </w:t>
      </w:r>
      <w:r w:rsidR="00E409BE" w:rsidRPr="00465CA2">
        <w:rPr>
          <w:sz w:val="26"/>
          <w:szCs w:val="26"/>
        </w:rPr>
        <w:t xml:space="preserve">№ </w:t>
      </w:r>
      <w:r w:rsidR="007863DF" w:rsidRPr="00465CA2">
        <w:rPr>
          <w:sz w:val="26"/>
          <w:szCs w:val="26"/>
        </w:rPr>
        <w:t xml:space="preserve">09-33 участники обратили внимание на разнонаправленность установленных целей регулирования: </w:t>
      </w:r>
      <w:r w:rsidR="000469C9" w:rsidRPr="00465CA2">
        <w:rPr>
          <w:sz w:val="26"/>
          <w:szCs w:val="26"/>
        </w:rPr>
        <w:t xml:space="preserve">сохранение доступности услуг (цель - регулирование) и снижение финансовой нагрузки на отрасль (цель - дерегулирование) являются разнонаправленными целями и их нельзя рассматривать в едином пакете. Предложено рассматривать </w:t>
      </w:r>
      <w:r w:rsidR="0093596D" w:rsidRPr="00465CA2">
        <w:rPr>
          <w:sz w:val="26"/>
          <w:szCs w:val="26"/>
        </w:rPr>
        <w:t>выгоды и издержки</w:t>
      </w:r>
      <w:r w:rsidR="000469C9" w:rsidRPr="00465CA2">
        <w:rPr>
          <w:sz w:val="26"/>
          <w:szCs w:val="26"/>
        </w:rPr>
        <w:t xml:space="preserve"> отрасли по</w:t>
      </w:r>
      <w:r w:rsidR="0093596D" w:rsidRPr="00465CA2">
        <w:rPr>
          <w:sz w:val="26"/>
          <w:szCs w:val="26"/>
        </w:rPr>
        <w:t xml:space="preserve"> каждой из этих целей отдельно;</w:t>
      </w:r>
    </w:p>
    <w:p w14:paraId="4E78F969" w14:textId="77777777" w:rsidR="007863DF" w:rsidRDefault="00511F92" w:rsidP="00465CA2">
      <w:pPr>
        <w:tabs>
          <w:tab w:val="left" w:pos="284"/>
          <w:tab w:val="left" w:pos="709"/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465CA2">
        <w:rPr>
          <w:sz w:val="26"/>
          <w:szCs w:val="26"/>
        </w:rPr>
        <w:t>в</w:t>
      </w:r>
      <w:r w:rsidR="000469C9" w:rsidRPr="00465CA2">
        <w:rPr>
          <w:sz w:val="26"/>
          <w:szCs w:val="26"/>
        </w:rPr>
        <w:t xml:space="preserve"> отношении предлагаемого методикой запроса информации у TOP-5 и TOP-10 крупнейших поставщиков услуг (по IT-решениям, обучению и др.) предложено не «отбрасывать» крайние полученные результаты, а использовать для оценки средней стои</w:t>
      </w:r>
      <w:r w:rsidR="00CE0225" w:rsidRPr="00465CA2">
        <w:rPr>
          <w:sz w:val="26"/>
          <w:szCs w:val="26"/>
        </w:rPr>
        <w:t>мости таких услуг все полученные данные.</w:t>
      </w:r>
    </w:p>
    <w:p w14:paraId="12050212" w14:textId="77777777" w:rsidR="0076142D" w:rsidRDefault="0076142D" w:rsidP="00465CA2">
      <w:pPr>
        <w:tabs>
          <w:tab w:val="left" w:pos="284"/>
          <w:tab w:val="left" w:pos="709"/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</w:p>
    <w:p w14:paraId="652D269B" w14:textId="77777777" w:rsidR="0076142D" w:rsidRPr="0076142D" w:rsidRDefault="0076142D" w:rsidP="0076142D">
      <w:pPr>
        <w:pStyle w:val="a3"/>
        <w:numPr>
          <w:ilvl w:val="1"/>
          <w:numId w:val="3"/>
        </w:numPr>
        <w:tabs>
          <w:tab w:val="left" w:pos="284"/>
          <w:tab w:val="left" w:pos="709"/>
          <w:tab w:val="left" w:pos="993"/>
        </w:tabs>
        <w:jc w:val="both"/>
        <w:rPr>
          <w:b/>
          <w:sz w:val="26"/>
          <w:szCs w:val="26"/>
        </w:rPr>
      </w:pPr>
      <w:r w:rsidRPr="0076142D">
        <w:rPr>
          <w:b/>
          <w:sz w:val="26"/>
          <w:szCs w:val="26"/>
          <w:lang w:val="ru-RU"/>
        </w:rPr>
        <w:t>Иные вопросы</w:t>
      </w:r>
    </w:p>
    <w:p w14:paraId="102EFFBF" w14:textId="77777777" w:rsidR="0076142D" w:rsidRPr="00465CA2" w:rsidRDefault="0076142D" w:rsidP="0076142D">
      <w:pPr>
        <w:tabs>
          <w:tab w:val="left" w:pos="284"/>
          <w:tab w:val="left" w:pos="709"/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Участники отметили, что в</w:t>
      </w:r>
      <w:r w:rsidRPr="00465CA2">
        <w:rPr>
          <w:sz w:val="26"/>
          <w:szCs w:val="26"/>
        </w:rPr>
        <w:t>ажно встроить Методику в общий инструментарий Банка России и с учетом этого проводить ее доработку с привлечением широкого круга участников (например, в рамках отдельного консульта</w:t>
      </w:r>
      <w:r w:rsidR="00613ACD">
        <w:rPr>
          <w:sz w:val="26"/>
          <w:szCs w:val="26"/>
        </w:rPr>
        <w:t>тив</w:t>
      </w:r>
      <w:r w:rsidRPr="00465CA2">
        <w:rPr>
          <w:sz w:val="26"/>
          <w:szCs w:val="26"/>
        </w:rPr>
        <w:t xml:space="preserve">ного доклада). Участники обсуждения упомянули также о планах Банка России по созданию системы оценки фактического воздействия. </w:t>
      </w:r>
    </w:p>
    <w:p w14:paraId="76160A64" w14:textId="77777777" w:rsidR="00CE0225" w:rsidRPr="00465CA2" w:rsidRDefault="00CE0225" w:rsidP="00465CA2">
      <w:pPr>
        <w:pStyle w:val="a3"/>
        <w:tabs>
          <w:tab w:val="left" w:pos="284"/>
          <w:tab w:val="left" w:pos="709"/>
          <w:tab w:val="left" w:pos="993"/>
        </w:tabs>
        <w:ind w:left="567"/>
        <w:jc w:val="both"/>
        <w:rPr>
          <w:sz w:val="26"/>
          <w:szCs w:val="26"/>
          <w:lang w:val="ru-RU"/>
        </w:rPr>
      </w:pPr>
    </w:p>
    <w:p w14:paraId="46998D86" w14:textId="77777777" w:rsidR="003B7654" w:rsidRPr="00465CA2" w:rsidRDefault="000D2CD5" w:rsidP="00465CA2">
      <w:pPr>
        <w:tabs>
          <w:tab w:val="left" w:pos="284"/>
          <w:tab w:val="left" w:pos="709"/>
          <w:tab w:val="left" w:pos="851"/>
        </w:tabs>
        <w:spacing w:after="0" w:line="240" w:lineRule="auto"/>
        <w:ind w:firstLine="567"/>
        <w:jc w:val="both"/>
        <w:rPr>
          <w:b/>
          <w:sz w:val="26"/>
          <w:szCs w:val="26"/>
        </w:rPr>
      </w:pPr>
      <w:r w:rsidRPr="00465CA2">
        <w:rPr>
          <w:b/>
          <w:sz w:val="26"/>
          <w:szCs w:val="26"/>
        </w:rPr>
        <w:t>Принятые решения:</w:t>
      </w:r>
    </w:p>
    <w:p w14:paraId="0BD71670" w14:textId="77777777" w:rsidR="003B7654" w:rsidRPr="00465CA2" w:rsidRDefault="000D2CD5" w:rsidP="00465CA2">
      <w:pPr>
        <w:tabs>
          <w:tab w:val="left" w:pos="284"/>
          <w:tab w:val="left" w:pos="567"/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465CA2">
        <w:rPr>
          <w:sz w:val="26"/>
          <w:szCs w:val="26"/>
        </w:rPr>
        <w:t xml:space="preserve">С учетом того, что Методика представлена профессиональному сообществу впервые, </w:t>
      </w:r>
      <w:r w:rsidR="00204593" w:rsidRPr="00465CA2">
        <w:rPr>
          <w:sz w:val="26"/>
          <w:szCs w:val="26"/>
        </w:rPr>
        <w:t>участникам обсуждения</w:t>
      </w:r>
      <w:r w:rsidR="003B7654" w:rsidRPr="00465CA2">
        <w:rPr>
          <w:sz w:val="26"/>
          <w:szCs w:val="26"/>
        </w:rPr>
        <w:t xml:space="preserve"> предложено при желании дополнительно представить свои замечания и предложений к Методике в срок до 18 ноября 2020 г. </w:t>
      </w:r>
    </w:p>
    <w:p w14:paraId="55848879" w14:textId="77777777" w:rsidR="003B7654" w:rsidRPr="00465CA2" w:rsidRDefault="003B7654" w:rsidP="00465CA2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465CA2">
        <w:rPr>
          <w:sz w:val="26"/>
          <w:szCs w:val="26"/>
        </w:rPr>
        <w:t>Аналитическ</w:t>
      </w:r>
      <w:r w:rsidR="000D2CD5" w:rsidRPr="00465CA2">
        <w:rPr>
          <w:sz w:val="26"/>
          <w:szCs w:val="26"/>
        </w:rPr>
        <w:t>ому</w:t>
      </w:r>
      <w:r w:rsidRPr="00465CA2">
        <w:rPr>
          <w:sz w:val="26"/>
          <w:szCs w:val="26"/>
        </w:rPr>
        <w:t xml:space="preserve"> центр</w:t>
      </w:r>
      <w:r w:rsidR="000D2CD5" w:rsidRPr="00465CA2">
        <w:rPr>
          <w:sz w:val="26"/>
          <w:szCs w:val="26"/>
        </w:rPr>
        <w:t>у</w:t>
      </w:r>
      <w:r w:rsidRPr="00465CA2">
        <w:rPr>
          <w:sz w:val="26"/>
          <w:szCs w:val="26"/>
        </w:rPr>
        <w:t xml:space="preserve"> «Форум» </w:t>
      </w:r>
      <w:r w:rsidR="000D2CD5" w:rsidRPr="00465CA2">
        <w:rPr>
          <w:sz w:val="26"/>
          <w:szCs w:val="26"/>
        </w:rPr>
        <w:t xml:space="preserve">подготовить </w:t>
      </w:r>
      <w:r w:rsidRPr="00465CA2">
        <w:rPr>
          <w:sz w:val="26"/>
          <w:szCs w:val="26"/>
        </w:rPr>
        <w:t xml:space="preserve">итоги заседания и заключение об апробации Методики, которое будет представлено на Рабочую группу. </w:t>
      </w:r>
    </w:p>
    <w:p w14:paraId="5874763A" w14:textId="77777777" w:rsidR="000D2CD5" w:rsidRPr="00465CA2" w:rsidRDefault="000D2CD5" w:rsidP="00465CA2">
      <w:pPr>
        <w:pStyle w:val="a3"/>
        <w:tabs>
          <w:tab w:val="left" w:pos="284"/>
          <w:tab w:val="left" w:pos="426"/>
        </w:tabs>
        <w:ind w:left="426"/>
        <w:jc w:val="both"/>
        <w:rPr>
          <w:sz w:val="26"/>
          <w:szCs w:val="26"/>
          <w:lang w:val="ru-RU"/>
        </w:rPr>
      </w:pPr>
    </w:p>
    <w:p w14:paraId="06E87AF9" w14:textId="34C04BA1" w:rsidR="00204593" w:rsidRPr="00465CA2" w:rsidRDefault="00204593" w:rsidP="00465CA2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ind w:left="0" w:firstLine="567"/>
        <w:jc w:val="both"/>
        <w:rPr>
          <w:b/>
          <w:sz w:val="26"/>
          <w:szCs w:val="26"/>
          <w:lang w:val="ru-RU"/>
        </w:rPr>
      </w:pPr>
      <w:r w:rsidRPr="00465CA2">
        <w:rPr>
          <w:b/>
          <w:sz w:val="26"/>
          <w:szCs w:val="26"/>
          <w:lang w:val="ru-RU"/>
        </w:rPr>
        <w:t xml:space="preserve">Обсуждение вариантов решения задачи либерализации </w:t>
      </w:r>
      <w:r w:rsidR="00517D43">
        <w:rPr>
          <w:b/>
          <w:sz w:val="26"/>
          <w:szCs w:val="26"/>
          <w:lang w:val="ru-RU"/>
        </w:rPr>
        <w:t xml:space="preserve">регулирования </w:t>
      </w:r>
      <w:r w:rsidRPr="00465CA2">
        <w:rPr>
          <w:b/>
          <w:sz w:val="26"/>
          <w:szCs w:val="26"/>
          <w:lang w:val="ru-RU"/>
        </w:rPr>
        <w:t>тарифов регистраторов.</w:t>
      </w:r>
    </w:p>
    <w:p w14:paraId="1FC24527" w14:textId="77777777" w:rsidR="00811D36" w:rsidRPr="00465CA2" w:rsidRDefault="00956910" w:rsidP="00465CA2">
      <w:pPr>
        <w:pStyle w:val="a3"/>
        <w:tabs>
          <w:tab w:val="left" w:pos="284"/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465CA2">
        <w:rPr>
          <w:sz w:val="26"/>
          <w:szCs w:val="26"/>
          <w:lang w:val="ru-RU"/>
        </w:rPr>
        <w:t>На сегодняшний день существует два параллельных процесса</w:t>
      </w:r>
      <w:r w:rsidR="00811D36" w:rsidRPr="00465CA2">
        <w:rPr>
          <w:sz w:val="26"/>
          <w:szCs w:val="26"/>
          <w:lang w:val="ru-RU"/>
        </w:rPr>
        <w:t xml:space="preserve">, </w:t>
      </w:r>
      <w:r w:rsidR="00CC5818" w:rsidRPr="00465CA2">
        <w:rPr>
          <w:sz w:val="26"/>
          <w:szCs w:val="26"/>
          <w:lang w:val="ru-RU"/>
        </w:rPr>
        <w:t xml:space="preserve">предлагающих два варианта </w:t>
      </w:r>
      <w:r w:rsidR="00811D36" w:rsidRPr="00465CA2">
        <w:rPr>
          <w:sz w:val="26"/>
          <w:szCs w:val="26"/>
          <w:lang w:val="ru-RU"/>
        </w:rPr>
        <w:t>уточнени</w:t>
      </w:r>
      <w:r w:rsidR="00CC5818" w:rsidRPr="00465CA2">
        <w:rPr>
          <w:sz w:val="26"/>
          <w:szCs w:val="26"/>
          <w:lang w:val="ru-RU"/>
        </w:rPr>
        <w:t>я</w:t>
      </w:r>
      <w:r w:rsidR="00811D36" w:rsidRPr="00465CA2">
        <w:rPr>
          <w:sz w:val="26"/>
          <w:szCs w:val="26"/>
          <w:lang w:val="ru-RU"/>
        </w:rPr>
        <w:t xml:space="preserve"> положений </w:t>
      </w:r>
      <w:r w:rsidR="00BC39A4" w:rsidRPr="00465CA2">
        <w:rPr>
          <w:sz w:val="26"/>
          <w:szCs w:val="26"/>
          <w:lang w:val="ru-RU"/>
        </w:rPr>
        <w:t>законо</w:t>
      </w:r>
      <w:r w:rsidR="003E1A8C" w:rsidRPr="00465CA2">
        <w:rPr>
          <w:sz w:val="26"/>
          <w:szCs w:val="26"/>
          <w:lang w:val="ru-RU"/>
        </w:rPr>
        <w:t xml:space="preserve">дательства </w:t>
      </w:r>
      <w:r w:rsidR="00811D36" w:rsidRPr="00465CA2">
        <w:rPr>
          <w:sz w:val="26"/>
          <w:szCs w:val="26"/>
          <w:lang w:val="ru-RU"/>
        </w:rPr>
        <w:t>о тарифах регистраторов:</w:t>
      </w:r>
    </w:p>
    <w:p w14:paraId="7AE3A076" w14:textId="77777777" w:rsidR="003F3CAC" w:rsidRPr="00465CA2" w:rsidRDefault="003F3CAC" w:rsidP="00465CA2">
      <w:pPr>
        <w:pStyle w:val="a3"/>
        <w:tabs>
          <w:tab w:val="left" w:pos="284"/>
          <w:tab w:val="left" w:pos="851"/>
        </w:tabs>
        <w:ind w:left="0" w:firstLine="567"/>
        <w:jc w:val="both"/>
        <w:rPr>
          <w:i/>
          <w:sz w:val="26"/>
          <w:szCs w:val="26"/>
          <w:lang w:val="ru-RU"/>
        </w:rPr>
      </w:pPr>
    </w:p>
    <w:p w14:paraId="098FD105" w14:textId="77777777" w:rsidR="00CC5818" w:rsidRPr="00465CA2" w:rsidRDefault="00CC5818" w:rsidP="00465CA2">
      <w:pPr>
        <w:pStyle w:val="a3"/>
        <w:tabs>
          <w:tab w:val="left" w:pos="284"/>
          <w:tab w:val="left" w:pos="851"/>
        </w:tabs>
        <w:ind w:left="0" w:firstLine="567"/>
        <w:jc w:val="both"/>
        <w:rPr>
          <w:i/>
          <w:sz w:val="26"/>
          <w:szCs w:val="26"/>
          <w:lang w:val="ru-RU"/>
        </w:rPr>
      </w:pPr>
      <w:r w:rsidRPr="00465CA2">
        <w:rPr>
          <w:i/>
          <w:sz w:val="26"/>
          <w:szCs w:val="26"/>
          <w:lang w:val="ru-RU"/>
        </w:rPr>
        <w:t>Вариант 1</w:t>
      </w:r>
    </w:p>
    <w:p w14:paraId="6D5273EC" w14:textId="77777777" w:rsidR="00491D80" w:rsidRPr="00465CA2" w:rsidRDefault="00CC5818" w:rsidP="00465CA2">
      <w:pPr>
        <w:pStyle w:val="a3"/>
        <w:tabs>
          <w:tab w:val="left" w:pos="284"/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465CA2">
        <w:rPr>
          <w:sz w:val="26"/>
          <w:szCs w:val="26"/>
          <w:lang w:val="ru-RU"/>
        </w:rPr>
        <w:t>В</w:t>
      </w:r>
      <w:r w:rsidR="00956910" w:rsidRPr="00465CA2">
        <w:rPr>
          <w:sz w:val="26"/>
          <w:szCs w:val="26"/>
          <w:lang w:val="ru-RU"/>
        </w:rPr>
        <w:t xml:space="preserve"> рамках «регуляторной гильотины» рассм</w:t>
      </w:r>
      <w:r w:rsidR="005A5F88" w:rsidRPr="00465CA2">
        <w:rPr>
          <w:sz w:val="26"/>
          <w:szCs w:val="26"/>
          <w:lang w:val="ru-RU"/>
        </w:rPr>
        <w:t>отрена</w:t>
      </w:r>
      <w:r w:rsidR="00956910" w:rsidRPr="00465CA2">
        <w:rPr>
          <w:sz w:val="26"/>
          <w:szCs w:val="26"/>
          <w:lang w:val="ru-RU"/>
        </w:rPr>
        <w:t xml:space="preserve"> инициатива № 09-68</w:t>
      </w:r>
      <w:r w:rsidR="00BC39A4" w:rsidRPr="00465CA2">
        <w:rPr>
          <w:sz w:val="26"/>
          <w:szCs w:val="26"/>
          <w:lang w:val="ru-RU"/>
        </w:rPr>
        <w:t xml:space="preserve"> (инициатор – ПАРТАД)</w:t>
      </w:r>
      <w:r w:rsidR="00811D36" w:rsidRPr="00465CA2">
        <w:rPr>
          <w:sz w:val="26"/>
          <w:szCs w:val="26"/>
          <w:lang w:val="ru-RU"/>
        </w:rPr>
        <w:t>, пред</w:t>
      </w:r>
      <w:r w:rsidR="00956910" w:rsidRPr="00465CA2">
        <w:rPr>
          <w:sz w:val="26"/>
          <w:szCs w:val="26"/>
          <w:lang w:val="ru-RU"/>
        </w:rPr>
        <w:t xml:space="preserve">лагающая внесение изменений в </w:t>
      </w:r>
      <w:r w:rsidR="00811D36" w:rsidRPr="00465CA2">
        <w:rPr>
          <w:sz w:val="26"/>
          <w:szCs w:val="26"/>
          <w:lang w:val="ru-RU"/>
        </w:rPr>
        <w:t xml:space="preserve">Указание Банка России от 22.03.2018 </w:t>
      </w:r>
      <w:r w:rsidR="00686373" w:rsidRPr="00465CA2">
        <w:rPr>
          <w:sz w:val="26"/>
          <w:szCs w:val="26"/>
          <w:lang w:val="ru-RU"/>
        </w:rPr>
        <w:t>№</w:t>
      </w:r>
      <w:r w:rsidR="00811D36" w:rsidRPr="00465CA2">
        <w:rPr>
          <w:sz w:val="26"/>
          <w:szCs w:val="26"/>
          <w:lang w:val="ru-RU"/>
        </w:rPr>
        <w:t xml:space="preserve"> 4748-У</w:t>
      </w:r>
      <w:r w:rsidR="00686373" w:rsidRPr="00465CA2">
        <w:rPr>
          <w:sz w:val="26"/>
          <w:szCs w:val="26"/>
          <w:lang w:val="ru-RU"/>
        </w:rPr>
        <w:t xml:space="preserve"> </w:t>
      </w:r>
      <w:r w:rsidR="00811D36" w:rsidRPr="00465CA2">
        <w:rPr>
          <w:sz w:val="26"/>
          <w:szCs w:val="26"/>
          <w:lang w:val="ru-RU"/>
        </w:rPr>
        <w:t>«О максимальной плате, взимаемой держателем реестра владельцев ценных бумаг с зарегистрированных лиц за проведение операций по лицевым счетам и за предоставление информации из реестра владельцев ценных бумаг, и порядке ее определения»</w:t>
      </w:r>
      <w:r w:rsidR="00686373" w:rsidRPr="00465CA2">
        <w:rPr>
          <w:sz w:val="26"/>
          <w:szCs w:val="26"/>
          <w:lang w:val="ru-RU"/>
        </w:rPr>
        <w:t xml:space="preserve"> (далее – Указание № 4748-У) и</w:t>
      </w:r>
      <w:r w:rsidR="00811D36" w:rsidRPr="00465CA2">
        <w:rPr>
          <w:sz w:val="26"/>
          <w:szCs w:val="26"/>
          <w:lang w:val="ru-RU"/>
        </w:rPr>
        <w:t xml:space="preserve"> Федеральный закон </w:t>
      </w:r>
      <w:r w:rsidR="00613ACD">
        <w:rPr>
          <w:sz w:val="26"/>
          <w:szCs w:val="26"/>
          <w:lang w:val="ru-RU"/>
        </w:rPr>
        <w:t xml:space="preserve">от 22.04.1996 № 39-ФЗ </w:t>
      </w:r>
      <w:r w:rsidR="00811D36" w:rsidRPr="00465CA2">
        <w:rPr>
          <w:sz w:val="26"/>
          <w:szCs w:val="26"/>
          <w:lang w:val="ru-RU"/>
        </w:rPr>
        <w:t>«О рынке ценных бумаг» в части сохранени</w:t>
      </w:r>
      <w:r w:rsidR="00BC39A4" w:rsidRPr="00465CA2">
        <w:rPr>
          <w:sz w:val="26"/>
          <w:szCs w:val="26"/>
          <w:lang w:val="ru-RU"/>
        </w:rPr>
        <w:t>я</w:t>
      </w:r>
      <w:r w:rsidR="00811D36" w:rsidRPr="00465CA2">
        <w:rPr>
          <w:sz w:val="26"/>
          <w:szCs w:val="26"/>
          <w:lang w:val="ru-RU"/>
        </w:rPr>
        <w:t xml:space="preserve"> регулирования</w:t>
      </w:r>
      <w:r w:rsidR="00BC39A4" w:rsidRPr="00465CA2">
        <w:rPr>
          <w:sz w:val="26"/>
          <w:szCs w:val="26"/>
          <w:lang w:val="ru-RU"/>
        </w:rPr>
        <w:t xml:space="preserve"> тарифов регистратора</w:t>
      </w:r>
      <w:r w:rsidR="00811D36" w:rsidRPr="00465CA2">
        <w:rPr>
          <w:sz w:val="26"/>
          <w:szCs w:val="26"/>
          <w:lang w:val="ru-RU"/>
        </w:rPr>
        <w:t xml:space="preserve"> только в отношении выдачи выписок, перехода в номинальное держание и вступлени</w:t>
      </w:r>
      <w:r w:rsidR="00416F35" w:rsidRPr="00465CA2">
        <w:rPr>
          <w:sz w:val="26"/>
          <w:szCs w:val="26"/>
          <w:lang w:val="ru-RU"/>
        </w:rPr>
        <w:t>я</w:t>
      </w:r>
      <w:r w:rsidR="00811D36" w:rsidRPr="00465CA2">
        <w:rPr>
          <w:sz w:val="26"/>
          <w:szCs w:val="26"/>
          <w:lang w:val="ru-RU"/>
        </w:rPr>
        <w:t xml:space="preserve"> в права наследства. В отношении других операций ограничение тарифов предлагается исключить</w:t>
      </w:r>
      <w:r w:rsidR="005A5F88" w:rsidRPr="00465CA2">
        <w:rPr>
          <w:sz w:val="26"/>
          <w:szCs w:val="26"/>
          <w:lang w:val="ru-RU"/>
        </w:rPr>
        <w:t xml:space="preserve"> </w:t>
      </w:r>
      <w:r w:rsidR="00436BAF" w:rsidRPr="00465CA2">
        <w:rPr>
          <w:sz w:val="26"/>
          <w:szCs w:val="26"/>
          <w:lang w:val="ru-RU"/>
        </w:rPr>
        <w:t>и</w:t>
      </w:r>
      <w:r w:rsidR="005A5F88" w:rsidRPr="00465CA2">
        <w:rPr>
          <w:sz w:val="26"/>
          <w:szCs w:val="26"/>
          <w:lang w:val="ru-RU"/>
        </w:rPr>
        <w:t xml:space="preserve"> снять запрет на возможность «привязки» тарифа регистратора к объему сделки</w:t>
      </w:r>
      <w:r w:rsidRPr="00465CA2">
        <w:rPr>
          <w:sz w:val="26"/>
          <w:szCs w:val="26"/>
          <w:lang w:val="ru-RU"/>
        </w:rPr>
        <w:t>.</w:t>
      </w:r>
    </w:p>
    <w:p w14:paraId="0F360D0A" w14:textId="77777777" w:rsidR="003F3CAC" w:rsidRPr="00465CA2" w:rsidRDefault="003F3CAC" w:rsidP="00465CA2">
      <w:pPr>
        <w:pStyle w:val="a3"/>
        <w:tabs>
          <w:tab w:val="left" w:pos="284"/>
          <w:tab w:val="left" w:pos="851"/>
        </w:tabs>
        <w:ind w:left="0" w:firstLine="567"/>
        <w:jc w:val="both"/>
        <w:rPr>
          <w:i/>
          <w:sz w:val="26"/>
          <w:szCs w:val="26"/>
          <w:lang w:val="ru-RU"/>
        </w:rPr>
      </w:pPr>
    </w:p>
    <w:p w14:paraId="279EE61E" w14:textId="77777777" w:rsidR="00CC5818" w:rsidRPr="00465CA2" w:rsidRDefault="00CC5818" w:rsidP="00465CA2">
      <w:pPr>
        <w:pStyle w:val="a3"/>
        <w:tabs>
          <w:tab w:val="left" w:pos="284"/>
          <w:tab w:val="left" w:pos="851"/>
        </w:tabs>
        <w:ind w:left="0" w:firstLine="567"/>
        <w:jc w:val="both"/>
        <w:rPr>
          <w:i/>
          <w:sz w:val="26"/>
          <w:szCs w:val="26"/>
          <w:lang w:val="ru-RU"/>
        </w:rPr>
      </w:pPr>
      <w:r w:rsidRPr="00465CA2">
        <w:rPr>
          <w:i/>
          <w:sz w:val="26"/>
          <w:szCs w:val="26"/>
          <w:lang w:val="ru-RU"/>
        </w:rPr>
        <w:t>Вариант 2</w:t>
      </w:r>
    </w:p>
    <w:p w14:paraId="15EECA31" w14:textId="6CD04943" w:rsidR="00811D36" w:rsidRPr="00465CA2" w:rsidRDefault="00BC39A4" w:rsidP="00465CA2">
      <w:pPr>
        <w:pStyle w:val="a3"/>
        <w:tabs>
          <w:tab w:val="left" w:pos="284"/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465CA2">
        <w:rPr>
          <w:sz w:val="26"/>
          <w:szCs w:val="26"/>
          <w:lang w:val="ru-RU"/>
        </w:rPr>
        <w:t>СРО НФА обратил</w:t>
      </w:r>
      <w:r w:rsidR="00613ACD">
        <w:rPr>
          <w:sz w:val="26"/>
          <w:szCs w:val="26"/>
          <w:lang w:val="ru-RU"/>
        </w:rPr>
        <w:t>а</w:t>
      </w:r>
      <w:r w:rsidRPr="00465CA2">
        <w:rPr>
          <w:sz w:val="26"/>
          <w:szCs w:val="26"/>
          <w:lang w:val="ru-RU"/>
        </w:rPr>
        <w:t xml:space="preserve">сь в Банк России с предложением решить проблему определения стоимости </w:t>
      </w:r>
      <w:r w:rsidR="003C586C" w:rsidRPr="00465CA2">
        <w:rPr>
          <w:sz w:val="26"/>
          <w:szCs w:val="26"/>
          <w:lang w:val="ru-RU"/>
        </w:rPr>
        <w:t>неторгуемы</w:t>
      </w:r>
      <w:r w:rsidR="003C586C">
        <w:rPr>
          <w:sz w:val="26"/>
          <w:szCs w:val="26"/>
          <w:lang w:val="ru-RU"/>
        </w:rPr>
        <w:t>х</w:t>
      </w:r>
      <w:r w:rsidR="003C586C" w:rsidRPr="00465CA2">
        <w:rPr>
          <w:sz w:val="26"/>
          <w:szCs w:val="26"/>
          <w:lang w:val="ru-RU"/>
        </w:rPr>
        <w:t xml:space="preserve"> ценны</w:t>
      </w:r>
      <w:r w:rsidR="003C586C">
        <w:rPr>
          <w:sz w:val="26"/>
          <w:szCs w:val="26"/>
          <w:lang w:val="ru-RU"/>
        </w:rPr>
        <w:t>х</w:t>
      </w:r>
      <w:r w:rsidR="003C586C" w:rsidRPr="00465CA2">
        <w:rPr>
          <w:sz w:val="26"/>
          <w:szCs w:val="26"/>
          <w:lang w:val="ru-RU"/>
        </w:rPr>
        <w:t xml:space="preserve"> бумаг</w:t>
      </w:r>
      <w:r w:rsidR="003C586C">
        <w:rPr>
          <w:sz w:val="26"/>
          <w:szCs w:val="26"/>
          <w:lang w:val="ru-RU"/>
        </w:rPr>
        <w:t xml:space="preserve"> в целях </w:t>
      </w:r>
      <w:r w:rsidR="004C5516">
        <w:rPr>
          <w:sz w:val="26"/>
          <w:szCs w:val="26"/>
          <w:lang w:val="ru-RU"/>
        </w:rPr>
        <w:t>установления максимальной</w:t>
      </w:r>
      <w:r w:rsidR="003C586C">
        <w:rPr>
          <w:sz w:val="26"/>
          <w:szCs w:val="26"/>
          <w:lang w:val="ru-RU"/>
        </w:rPr>
        <w:t xml:space="preserve"> платы за</w:t>
      </w:r>
      <w:r w:rsidR="003C586C" w:rsidRPr="00465CA2">
        <w:rPr>
          <w:sz w:val="26"/>
          <w:szCs w:val="26"/>
          <w:lang w:val="ru-RU"/>
        </w:rPr>
        <w:t xml:space="preserve"> </w:t>
      </w:r>
      <w:r w:rsidRPr="00465CA2">
        <w:rPr>
          <w:sz w:val="26"/>
          <w:szCs w:val="26"/>
          <w:lang w:val="ru-RU"/>
        </w:rPr>
        <w:t>услуг</w:t>
      </w:r>
      <w:r w:rsidR="003C586C">
        <w:rPr>
          <w:sz w:val="26"/>
          <w:szCs w:val="26"/>
          <w:lang w:val="ru-RU"/>
        </w:rPr>
        <w:t>и</w:t>
      </w:r>
      <w:r w:rsidRPr="00465CA2">
        <w:rPr>
          <w:sz w:val="26"/>
          <w:szCs w:val="26"/>
          <w:lang w:val="ru-RU"/>
        </w:rPr>
        <w:t xml:space="preserve"> регистратора при </w:t>
      </w:r>
      <w:r w:rsidR="004C5516">
        <w:rPr>
          <w:sz w:val="26"/>
          <w:szCs w:val="26"/>
          <w:lang w:val="ru-RU"/>
        </w:rPr>
        <w:t>внесении записей о списании ценных бумаг с лицевого счета и зачисления на другой счет</w:t>
      </w:r>
      <w:r w:rsidRPr="00465CA2">
        <w:rPr>
          <w:sz w:val="26"/>
          <w:szCs w:val="26"/>
          <w:lang w:val="ru-RU"/>
        </w:rPr>
        <w:t>. На сегодняшний</w:t>
      </w:r>
      <w:r w:rsidR="00B044E2" w:rsidRPr="00465CA2">
        <w:rPr>
          <w:sz w:val="26"/>
          <w:szCs w:val="26"/>
          <w:lang w:val="ru-RU"/>
        </w:rPr>
        <w:t xml:space="preserve"> день</w:t>
      </w:r>
      <w:r w:rsidRPr="00465CA2">
        <w:rPr>
          <w:sz w:val="26"/>
          <w:szCs w:val="26"/>
          <w:lang w:val="ru-RU"/>
        </w:rPr>
        <w:t xml:space="preserve"> </w:t>
      </w:r>
      <w:r w:rsidR="004C5516">
        <w:rPr>
          <w:sz w:val="26"/>
          <w:szCs w:val="26"/>
          <w:lang w:val="ru-RU"/>
        </w:rPr>
        <w:t>максимальная плата</w:t>
      </w:r>
      <w:r w:rsidR="00B044E2" w:rsidRPr="00465CA2">
        <w:rPr>
          <w:sz w:val="26"/>
          <w:szCs w:val="26"/>
          <w:lang w:val="ru-RU"/>
        </w:rPr>
        <w:t xml:space="preserve"> определяется</w:t>
      </w:r>
      <w:r w:rsidR="004C5516">
        <w:rPr>
          <w:sz w:val="26"/>
          <w:szCs w:val="26"/>
          <w:lang w:val="ru-RU"/>
        </w:rPr>
        <w:t>,</w:t>
      </w:r>
      <w:r w:rsidR="00B044E2" w:rsidRPr="00465CA2">
        <w:rPr>
          <w:sz w:val="26"/>
          <w:szCs w:val="26"/>
          <w:lang w:val="ru-RU"/>
        </w:rPr>
        <w:t xml:space="preserve"> исходя из</w:t>
      </w:r>
      <w:r w:rsidRPr="00465CA2">
        <w:rPr>
          <w:sz w:val="26"/>
          <w:szCs w:val="26"/>
          <w:lang w:val="ru-RU"/>
        </w:rPr>
        <w:t xml:space="preserve"> номинала</w:t>
      </w:r>
      <w:r w:rsidR="003E1A8C" w:rsidRPr="00465CA2">
        <w:rPr>
          <w:sz w:val="26"/>
          <w:szCs w:val="26"/>
          <w:lang w:val="ru-RU"/>
        </w:rPr>
        <w:t xml:space="preserve"> ценной бумаги</w:t>
      </w:r>
      <w:r w:rsidRPr="00465CA2">
        <w:rPr>
          <w:sz w:val="26"/>
          <w:szCs w:val="26"/>
          <w:lang w:val="ru-RU"/>
        </w:rPr>
        <w:t>, что</w:t>
      </w:r>
      <w:r w:rsidR="00762103">
        <w:rPr>
          <w:sz w:val="26"/>
          <w:szCs w:val="26"/>
          <w:lang w:val="ru-RU"/>
        </w:rPr>
        <w:t>, по мнению СРО НФА,</w:t>
      </w:r>
      <w:r w:rsidRPr="00465CA2">
        <w:rPr>
          <w:sz w:val="26"/>
          <w:szCs w:val="26"/>
          <w:lang w:val="ru-RU"/>
        </w:rPr>
        <w:t xml:space="preserve"> </w:t>
      </w:r>
      <w:r w:rsidR="00517D43">
        <w:rPr>
          <w:sz w:val="26"/>
          <w:szCs w:val="26"/>
          <w:lang w:val="ru-RU"/>
        </w:rPr>
        <w:t xml:space="preserve">несправедливо </w:t>
      </w:r>
      <w:r w:rsidRPr="00465CA2">
        <w:rPr>
          <w:sz w:val="26"/>
          <w:szCs w:val="26"/>
          <w:lang w:val="ru-RU"/>
        </w:rPr>
        <w:t>как в отношении ценных бумаг с более низкой рыночной стоимостью (например, за перерегистрацию ценных бумаг компании-банкрота владелец вынужден заплатить больше, чем эти ценные бумаги стоят), так и с более высокой рыночной стоимостью (</w:t>
      </w:r>
      <w:r w:rsidR="00B044E2" w:rsidRPr="00465CA2">
        <w:rPr>
          <w:sz w:val="26"/>
          <w:szCs w:val="26"/>
          <w:lang w:val="ru-RU"/>
        </w:rPr>
        <w:t xml:space="preserve">стоимость услуг регистратора </w:t>
      </w:r>
      <w:r w:rsidR="0093596D" w:rsidRPr="00465CA2">
        <w:rPr>
          <w:sz w:val="26"/>
          <w:szCs w:val="26"/>
          <w:lang w:val="ru-RU"/>
        </w:rPr>
        <w:t>оказывается заниженной</w:t>
      </w:r>
      <w:r w:rsidR="00B044E2" w:rsidRPr="00465CA2">
        <w:rPr>
          <w:sz w:val="26"/>
          <w:szCs w:val="26"/>
          <w:lang w:val="ru-RU"/>
        </w:rPr>
        <w:t>)</w:t>
      </w:r>
      <w:r w:rsidRPr="00465CA2">
        <w:rPr>
          <w:sz w:val="26"/>
          <w:szCs w:val="26"/>
          <w:lang w:val="ru-RU"/>
        </w:rPr>
        <w:t xml:space="preserve">. Предлагается внести изменения в Указание </w:t>
      </w:r>
      <w:r w:rsidR="00686373" w:rsidRPr="00465CA2">
        <w:rPr>
          <w:sz w:val="26"/>
          <w:szCs w:val="26"/>
          <w:lang w:val="ru-RU"/>
        </w:rPr>
        <w:t>№</w:t>
      </w:r>
      <w:r w:rsidRPr="00465CA2">
        <w:rPr>
          <w:sz w:val="26"/>
          <w:szCs w:val="26"/>
          <w:lang w:val="ru-RU"/>
        </w:rPr>
        <w:t xml:space="preserve"> 4748-У</w:t>
      </w:r>
      <w:r w:rsidR="003E1A8C" w:rsidRPr="00465CA2">
        <w:rPr>
          <w:sz w:val="26"/>
          <w:szCs w:val="26"/>
          <w:lang w:val="ru-RU"/>
        </w:rPr>
        <w:t xml:space="preserve">, обеспечив возможность использования для определения </w:t>
      </w:r>
      <w:r w:rsidR="004C5516">
        <w:rPr>
          <w:sz w:val="26"/>
          <w:szCs w:val="26"/>
          <w:lang w:val="ru-RU"/>
        </w:rPr>
        <w:t>максимальной платы</w:t>
      </w:r>
      <w:r w:rsidR="003E1A8C" w:rsidRPr="00465CA2">
        <w:rPr>
          <w:sz w:val="26"/>
          <w:szCs w:val="26"/>
          <w:lang w:val="ru-RU"/>
        </w:rPr>
        <w:t xml:space="preserve"> </w:t>
      </w:r>
      <w:r w:rsidR="004C5516">
        <w:rPr>
          <w:sz w:val="26"/>
          <w:szCs w:val="26"/>
          <w:lang w:val="ru-RU"/>
        </w:rPr>
        <w:t>стоимости ценных бумаг</w:t>
      </w:r>
      <w:r w:rsidR="003E1A8C" w:rsidRPr="00465CA2">
        <w:rPr>
          <w:sz w:val="26"/>
          <w:szCs w:val="26"/>
          <w:lang w:val="ru-RU"/>
        </w:rPr>
        <w:t>, указанной в передаточном распоряжении или других документах (отчет оценщика для ситуации с банкротством</w:t>
      </w:r>
      <w:r w:rsidR="0093596D" w:rsidRPr="00465CA2">
        <w:rPr>
          <w:sz w:val="26"/>
          <w:szCs w:val="26"/>
          <w:lang w:val="ru-RU"/>
        </w:rPr>
        <w:t xml:space="preserve"> эмитента</w:t>
      </w:r>
      <w:r w:rsidR="003E1A8C" w:rsidRPr="00465CA2">
        <w:rPr>
          <w:sz w:val="26"/>
          <w:szCs w:val="26"/>
          <w:lang w:val="ru-RU"/>
        </w:rPr>
        <w:t xml:space="preserve">). </w:t>
      </w:r>
    </w:p>
    <w:p w14:paraId="04CF839C" w14:textId="77777777" w:rsidR="00CC5818" w:rsidRPr="00465CA2" w:rsidRDefault="00CC5818" w:rsidP="00465CA2">
      <w:pPr>
        <w:pStyle w:val="a3"/>
        <w:tabs>
          <w:tab w:val="left" w:pos="284"/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</w:p>
    <w:p w14:paraId="27F8A7ED" w14:textId="77777777" w:rsidR="003E1A8C" w:rsidRPr="00465CA2" w:rsidRDefault="003E1A8C" w:rsidP="00465CA2">
      <w:pPr>
        <w:pStyle w:val="a3"/>
        <w:tabs>
          <w:tab w:val="left" w:pos="284"/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465CA2">
        <w:rPr>
          <w:sz w:val="26"/>
          <w:szCs w:val="26"/>
          <w:lang w:val="ru-RU"/>
        </w:rPr>
        <w:t xml:space="preserve">Первые изменения носят стратегический характер, </w:t>
      </w:r>
      <w:r w:rsidR="0093596D" w:rsidRPr="00465CA2">
        <w:rPr>
          <w:sz w:val="26"/>
          <w:szCs w:val="26"/>
          <w:lang w:val="ru-RU"/>
        </w:rPr>
        <w:t xml:space="preserve">и </w:t>
      </w:r>
      <w:r w:rsidRPr="00465CA2">
        <w:rPr>
          <w:sz w:val="26"/>
          <w:szCs w:val="26"/>
          <w:lang w:val="ru-RU"/>
        </w:rPr>
        <w:t xml:space="preserve">с учетом необходимости внесения изменений </w:t>
      </w:r>
      <w:r w:rsidR="00CC5818" w:rsidRPr="00465CA2">
        <w:rPr>
          <w:sz w:val="26"/>
          <w:szCs w:val="26"/>
          <w:lang w:val="ru-RU"/>
        </w:rPr>
        <w:t xml:space="preserve">не только в Указание № 4748-У, но </w:t>
      </w:r>
      <w:r w:rsidR="00125A60" w:rsidRPr="00465CA2">
        <w:rPr>
          <w:sz w:val="26"/>
          <w:szCs w:val="26"/>
          <w:lang w:val="ru-RU"/>
        </w:rPr>
        <w:t xml:space="preserve">и </w:t>
      </w:r>
      <w:r w:rsidRPr="00465CA2">
        <w:rPr>
          <w:sz w:val="26"/>
          <w:szCs w:val="26"/>
          <w:lang w:val="ru-RU"/>
        </w:rPr>
        <w:t>в Федеральный закон «О рынке ценных бумаг» их реализаци</w:t>
      </w:r>
      <w:r w:rsidR="00436BAF" w:rsidRPr="00465CA2">
        <w:rPr>
          <w:sz w:val="26"/>
          <w:szCs w:val="26"/>
          <w:lang w:val="ru-RU"/>
        </w:rPr>
        <w:t>я</w:t>
      </w:r>
      <w:r w:rsidRPr="00465CA2">
        <w:rPr>
          <w:sz w:val="26"/>
          <w:szCs w:val="26"/>
          <w:lang w:val="ru-RU"/>
        </w:rPr>
        <w:t xml:space="preserve"> может занять</w:t>
      </w:r>
      <w:r w:rsidR="00436BAF" w:rsidRPr="00465CA2">
        <w:rPr>
          <w:sz w:val="26"/>
          <w:szCs w:val="26"/>
          <w:lang w:val="ru-RU"/>
        </w:rPr>
        <w:t xml:space="preserve"> определенное время</w:t>
      </w:r>
      <w:r w:rsidRPr="00465CA2">
        <w:rPr>
          <w:sz w:val="26"/>
          <w:szCs w:val="26"/>
          <w:lang w:val="ru-RU"/>
        </w:rPr>
        <w:t>. Вторые изменения носят более локальный характер</w:t>
      </w:r>
      <w:r w:rsidR="00CC5818" w:rsidRPr="00465CA2">
        <w:rPr>
          <w:sz w:val="26"/>
          <w:szCs w:val="26"/>
          <w:lang w:val="ru-RU"/>
        </w:rPr>
        <w:t>,</w:t>
      </w:r>
      <w:r w:rsidRPr="00465CA2">
        <w:rPr>
          <w:sz w:val="26"/>
          <w:szCs w:val="26"/>
          <w:lang w:val="ru-RU"/>
        </w:rPr>
        <w:t xml:space="preserve"> требуют внесения изменений лишь в акт Банка России и могут быть ре</w:t>
      </w:r>
      <w:r w:rsidR="00B44DEE" w:rsidRPr="00465CA2">
        <w:rPr>
          <w:sz w:val="26"/>
          <w:szCs w:val="26"/>
          <w:lang w:val="ru-RU"/>
        </w:rPr>
        <w:t>ализованы</w:t>
      </w:r>
      <w:r w:rsidRPr="00465CA2">
        <w:rPr>
          <w:sz w:val="26"/>
          <w:szCs w:val="26"/>
          <w:lang w:val="ru-RU"/>
        </w:rPr>
        <w:t xml:space="preserve"> быстрее. </w:t>
      </w:r>
    </w:p>
    <w:p w14:paraId="094F080B" w14:textId="77777777" w:rsidR="0080295D" w:rsidRDefault="0076142D" w:rsidP="0080295D">
      <w:pPr>
        <w:pStyle w:val="a3"/>
        <w:tabs>
          <w:tab w:val="left" w:pos="284"/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465CA2">
        <w:rPr>
          <w:sz w:val="26"/>
          <w:szCs w:val="26"/>
          <w:lang w:val="ru-RU"/>
        </w:rPr>
        <w:t xml:space="preserve">Представители регистраторов отметили, что формально при реализации Варианта 1 необходимости в изменениях, предлагаемых Вариантом 2, не будет. </w:t>
      </w:r>
    </w:p>
    <w:p w14:paraId="37F43269" w14:textId="77777777" w:rsidR="009620AD" w:rsidRPr="009F7717" w:rsidRDefault="005A5F88" w:rsidP="0080295D">
      <w:pPr>
        <w:pStyle w:val="a3"/>
        <w:tabs>
          <w:tab w:val="left" w:pos="284"/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80295D">
        <w:rPr>
          <w:sz w:val="26"/>
          <w:szCs w:val="26"/>
          <w:lang w:val="ru-RU"/>
        </w:rPr>
        <w:t>ПАРТАД по</w:t>
      </w:r>
      <w:r w:rsidR="00CC5818" w:rsidRPr="0080295D">
        <w:rPr>
          <w:sz w:val="26"/>
          <w:szCs w:val="26"/>
          <w:lang w:val="ru-RU"/>
        </w:rPr>
        <w:t>лагает</w:t>
      </w:r>
      <w:r w:rsidRPr="0080295D">
        <w:rPr>
          <w:sz w:val="26"/>
          <w:szCs w:val="26"/>
          <w:lang w:val="ru-RU"/>
        </w:rPr>
        <w:t xml:space="preserve">, что предлагаемое изменение в Указание </w:t>
      </w:r>
      <w:r w:rsidR="00686373" w:rsidRPr="0080295D">
        <w:rPr>
          <w:sz w:val="26"/>
          <w:szCs w:val="26"/>
          <w:lang w:val="ru-RU"/>
        </w:rPr>
        <w:t>№</w:t>
      </w:r>
      <w:r w:rsidRPr="0080295D">
        <w:rPr>
          <w:sz w:val="26"/>
          <w:szCs w:val="26"/>
          <w:lang w:val="ru-RU"/>
        </w:rPr>
        <w:t xml:space="preserve"> 4748-У в рамках </w:t>
      </w:r>
      <w:r w:rsidR="00CC5818" w:rsidRPr="0080295D">
        <w:rPr>
          <w:sz w:val="26"/>
          <w:szCs w:val="26"/>
          <w:lang w:val="ru-RU"/>
        </w:rPr>
        <w:t>Варианта 1</w:t>
      </w:r>
      <w:r w:rsidR="004C5516">
        <w:rPr>
          <w:sz w:val="26"/>
          <w:szCs w:val="26"/>
          <w:lang w:val="ru-RU"/>
        </w:rPr>
        <w:t>,</w:t>
      </w:r>
      <w:r w:rsidR="00CC5818" w:rsidRPr="0080295D">
        <w:rPr>
          <w:sz w:val="26"/>
          <w:szCs w:val="26"/>
          <w:lang w:val="ru-RU"/>
        </w:rPr>
        <w:t xml:space="preserve"> </w:t>
      </w:r>
      <w:r w:rsidRPr="0080295D">
        <w:rPr>
          <w:sz w:val="26"/>
          <w:szCs w:val="26"/>
          <w:lang w:val="ru-RU"/>
        </w:rPr>
        <w:t xml:space="preserve">может быть осуществлено независимо от изменения Федерального закона «О рынке ценных бумаг», что позволяет сопоставить его (с точки зрения </w:t>
      </w:r>
      <w:r w:rsidR="003F3CAC" w:rsidRPr="0080295D">
        <w:rPr>
          <w:sz w:val="26"/>
          <w:szCs w:val="26"/>
          <w:lang w:val="ru-RU"/>
        </w:rPr>
        <w:t>затрат</w:t>
      </w:r>
      <w:r w:rsidRPr="0080295D">
        <w:rPr>
          <w:sz w:val="26"/>
          <w:szCs w:val="26"/>
          <w:lang w:val="ru-RU"/>
        </w:rPr>
        <w:t xml:space="preserve"> времени</w:t>
      </w:r>
      <w:r w:rsidR="003F3CAC" w:rsidRPr="0080295D">
        <w:rPr>
          <w:sz w:val="26"/>
          <w:szCs w:val="26"/>
          <w:lang w:val="ru-RU"/>
        </w:rPr>
        <w:t xml:space="preserve"> и ресурсов</w:t>
      </w:r>
      <w:r w:rsidRPr="0080295D">
        <w:rPr>
          <w:sz w:val="26"/>
          <w:szCs w:val="26"/>
          <w:lang w:val="ru-RU"/>
        </w:rPr>
        <w:t>) с</w:t>
      </w:r>
      <w:r w:rsidR="009620AD" w:rsidRPr="0080295D">
        <w:rPr>
          <w:sz w:val="26"/>
          <w:szCs w:val="26"/>
          <w:lang w:val="ru-RU"/>
        </w:rPr>
        <w:t xml:space="preserve"> Вариантом 2</w:t>
      </w:r>
      <w:r w:rsidR="0067246F" w:rsidRPr="0080295D">
        <w:rPr>
          <w:sz w:val="26"/>
          <w:szCs w:val="26"/>
          <w:lang w:val="ru-RU"/>
        </w:rPr>
        <w:t xml:space="preserve">. </w:t>
      </w:r>
      <w:r w:rsidR="00436BAF" w:rsidRPr="009F7717">
        <w:rPr>
          <w:sz w:val="26"/>
          <w:szCs w:val="26"/>
          <w:lang w:val="ru-RU"/>
        </w:rPr>
        <w:t>В ответ на это предложение Банк России отметил, что в таком случае в отношени</w:t>
      </w:r>
      <w:r w:rsidR="004C5516">
        <w:rPr>
          <w:sz w:val="26"/>
          <w:szCs w:val="26"/>
          <w:lang w:val="ru-RU"/>
        </w:rPr>
        <w:t>и</w:t>
      </w:r>
      <w:r w:rsidR="00436BAF" w:rsidRPr="009F7717">
        <w:rPr>
          <w:sz w:val="26"/>
          <w:szCs w:val="26"/>
          <w:lang w:val="ru-RU"/>
        </w:rPr>
        <w:t xml:space="preserve"> разработанного Банком России проекта акта возможна позиция Минюста России о неполной реализации Банком России регуляторной функции в области установления тарифов регистратора.</w:t>
      </w:r>
      <w:r w:rsidR="00436BAF" w:rsidRPr="00465CA2">
        <w:rPr>
          <w:rStyle w:val="ab"/>
          <w:sz w:val="26"/>
          <w:szCs w:val="26"/>
        </w:rPr>
        <w:footnoteReference w:id="1"/>
      </w:r>
      <w:r w:rsidR="009620AD" w:rsidRPr="009F7717">
        <w:rPr>
          <w:sz w:val="26"/>
          <w:szCs w:val="26"/>
          <w:lang w:val="ru-RU"/>
        </w:rPr>
        <w:t xml:space="preserve"> Таким образом, реализация Варианта 1 возможна путем внесения изменений в Указание № 4748-У с внесением изменений и в Федеральный закон «О рынке ценных бумаг».</w:t>
      </w:r>
    </w:p>
    <w:p w14:paraId="2E3ECAA0" w14:textId="77777777" w:rsidR="0080295D" w:rsidRDefault="0080295D" w:rsidP="0076142D">
      <w:pPr>
        <w:pStyle w:val="a3"/>
        <w:tabs>
          <w:tab w:val="left" w:pos="284"/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При этом </w:t>
      </w:r>
      <w:r w:rsidRPr="00465CA2">
        <w:rPr>
          <w:sz w:val="26"/>
          <w:szCs w:val="26"/>
          <w:lang w:val="ru-RU"/>
        </w:rPr>
        <w:t xml:space="preserve">Банк России </w:t>
      </w:r>
      <w:r>
        <w:rPr>
          <w:sz w:val="26"/>
          <w:szCs w:val="26"/>
          <w:lang w:val="ru-RU"/>
        </w:rPr>
        <w:t xml:space="preserve">информировал участников рынка о </w:t>
      </w:r>
      <w:r w:rsidRPr="00465CA2">
        <w:rPr>
          <w:sz w:val="26"/>
          <w:szCs w:val="26"/>
          <w:lang w:val="ru-RU"/>
        </w:rPr>
        <w:t>разработ</w:t>
      </w:r>
      <w:r>
        <w:rPr>
          <w:sz w:val="26"/>
          <w:szCs w:val="26"/>
          <w:lang w:val="ru-RU"/>
        </w:rPr>
        <w:t>ке</w:t>
      </w:r>
      <w:r w:rsidRPr="00465CA2">
        <w:rPr>
          <w:sz w:val="26"/>
          <w:szCs w:val="26"/>
          <w:lang w:val="ru-RU"/>
        </w:rPr>
        <w:t xml:space="preserve"> концепци</w:t>
      </w:r>
      <w:r w:rsidR="004C5516">
        <w:rPr>
          <w:sz w:val="26"/>
          <w:szCs w:val="26"/>
          <w:lang w:val="ru-RU"/>
        </w:rPr>
        <w:t>и</w:t>
      </w:r>
      <w:r w:rsidRPr="00465CA2">
        <w:rPr>
          <w:sz w:val="26"/>
          <w:szCs w:val="26"/>
          <w:lang w:val="ru-RU"/>
        </w:rPr>
        <w:t xml:space="preserve"> изменений в законодательство об учетной инфраструктуре и подготов</w:t>
      </w:r>
      <w:r>
        <w:rPr>
          <w:sz w:val="26"/>
          <w:szCs w:val="26"/>
          <w:lang w:val="ru-RU"/>
        </w:rPr>
        <w:t xml:space="preserve">ке </w:t>
      </w:r>
      <w:r w:rsidRPr="00465CA2">
        <w:rPr>
          <w:sz w:val="26"/>
          <w:szCs w:val="26"/>
          <w:lang w:val="ru-RU"/>
        </w:rPr>
        <w:t>соответствующ</w:t>
      </w:r>
      <w:r>
        <w:rPr>
          <w:sz w:val="26"/>
          <w:szCs w:val="26"/>
          <w:lang w:val="ru-RU"/>
        </w:rPr>
        <w:t>его</w:t>
      </w:r>
      <w:r w:rsidRPr="00465CA2">
        <w:rPr>
          <w:sz w:val="26"/>
          <w:szCs w:val="26"/>
          <w:lang w:val="ru-RU"/>
        </w:rPr>
        <w:t xml:space="preserve"> законопроект</w:t>
      </w:r>
      <w:r>
        <w:rPr>
          <w:sz w:val="26"/>
          <w:szCs w:val="26"/>
          <w:lang w:val="ru-RU"/>
        </w:rPr>
        <w:t>а</w:t>
      </w:r>
      <w:r w:rsidRPr="00465CA2">
        <w:rPr>
          <w:sz w:val="26"/>
          <w:szCs w:val="26"/>
          <w:lang w:val="ru-RU"/>
        </w:rPr>
        <w:t xml:space="preserve">. В ближайшее время будут предприняты шаги по </w:t>
      </w:r>
      <w:r w:rsidR="004C5516">
        <w:rPr>
          <w:sz w:val="26"/>
          <w:szCs w:val="26"/>
          <w:lang w:val="ru-RU"/>
        </w:rPr>
        <w:t>инициированию</w:t>
      </w:r>
      <w:r w:rsidRPr="00465CA2">
        <w:rPr>
          <w:sz w:val="26"/>
          <w:szCs w:val="26"/>
          <w:lang w:val="ru-RU"/>
        </w:rPr>
        <w:t xml:space="preserve"> его обсужден</w:t>
      </w:r>
      <w:r w:rsidR="004C5516">
        <w:rPr>
          <w:sz w:val="26"/>
          <w:szCs w:val="26"/>
          <w:lang w:val="ru-RU"/>
        </w:rPr>
        <w:t>ия</w:t>
      </w:r>
      <w:r w:rsidRPr="00465CA2">
        <w:rPr>
          <w:sz w:val="26"/>
          <w:szCs w:val="26"/>
          <w:lang w:val="ru-RU"/>
        </w:rPr>
        <w:t xml:space="preserve"> с Минфином России</w:t>
      </w:r>
      <w:r w:rsidR="00306BCE">
        <w:rPr>
          <w:sz w:val="26"/>
          <w:szCs w:val="26"/>
          <w:lang w:val="ru-RU"/>
        </w:rPr>
        <w:t>.</w:t>
      </w:r>
      <w:r w:rsidR="009F7717">
        <w:rPr>
          <w:sz w:val="26"/>
          <w:szCs w:val="26"/>
          <w:lang w:val="ru-RU"/>
        </w:rPr>
        <w:t xml:space="preserve"> </w:t>
      </w:r>
      <w:r w:rsidRPr="00465CA2">
        <w:rPr>
          <w:sz w:val="26"/>
          <w:szCs w:val="26"/>
          <w:lang w:val="ru-RU"/>
        </w:rPr>
        <w:t xml:space="preserve">Предполагаемые в Варианте 1 изменения в статью 8 Федерального закона «О рынке ценных бумаг» возможно внести в указанный законопроект в качестве поправок ко 2 чтению в ГД РФ. </w:t>
      </w:r>
    </w:p>
    <w:p w14:paraId="39F025DB" w14:textId="77777777" w:rsidR="0080295D" w:rsidRPr="004C1BF7" w:rsidRDefault="00B044E2" w:rsidP="0076142D">
      <w:pPr>
        <w:pStyle w:val="a3"/>
        <w:tabs>
          <w:tab w:val="left" w:pos="284"/>
          <w:tab w:val="left" w:pos="851"/>
        </w:tabs>
        <w:ind w:left="0" w:firstLine="567"/>
        <w:jc w:val="both"/>
        <w:rPr>
          <w:i/>
          <w:sz w:val="26"/>
          <w:szCs w:val="26"/>
          <w:lang w:val="ru-RU"/>
        </w:rPr>
      </w:pPr>
      <w:r w:rsidRPr="0080295D">
        <w:rPr>
          <w:i/>
          <w:sz w:val="26"/>
          <w:szCs w:val="26"/>
          <w:lang w:val="ru-RU"/>
        </w:rPr>
        <w:t>Представители Банка России отметили, что</w:t>
      </w:r>
      <w:r w:rsidR="009F7717">
        <w:rPr>
          <w:i/>
          <w:sz w:val="26"/>
          <w:szCs w:val="26"/>
          <w:lang w:val="ru-RU"/>
        </w:rPr>
        <w:t>,</w:t>
      </w:r>
      <w:r w:rsidR="007449EA" w:rsidRPr="0080295D">
        <w:rPr>
          <w:i/>
          <w:sz w:val="26"/>
          <w:szCs w:val="26"/>
          <w:lang w:val="ru-RU"/>
        </w:rPr>
        <w:t xml:space="preserve"> учитывая ограниченность ресурсов и особенности процедуры разработки и принятия нормативных актов Банка России, в </w:t>
      </w:r>
      <w:r w:rsidR="004C5516">
        <w:rPr>
          <w:i/>
          <w:sz w:val="26"/>
          <w:szCs w:val="26"/>
          <w:lang w:val="ru-RU"/>
        </w:rPr>
        <w:t>среднесрочной перспективе</w:t>
      </w:r>
      <w:r w:rsidR="007449EA" w:rsidRPr="0080295D">
        <w:rPr>
          <w:i/>
          <w:sz w:val="26"/>
          <w:szCs w:val="26"/>
          <w:lang w:val="ru-RU"/>
        </w:rPr>
        <w:t xml:space="preserve"> возможна лишь одна процедура внесения изменений в Указание </w:t>
      </w:r>
      <w:r w:rsidR="00686373" w:rsidRPr="0080295D">
        <w:rPr>
          <w:i/>
          <w:sz w:val="26"/>
          <w:szCs w:val="26"/>
          <w:lang w:val="ru-RU"/>
        </w:rPr>
        <w:t>№</w:t>
      </w:r>
      <w:r w:rsidR="0080295D" w:rsidRPr="0080295D">
        <w:rPr>
          <w:i/>
          <w:sz w:val="26"/>
          <w:szCs w:val="26"/>
          <w:lang w:val="ru-RU"/>
        </w:rPr>
        <w:t xml:space="preserve"> 4748-У. </w:t>
      </w:r>
    </w:p>
    <w:p w14:paraId="4CE91235" w14:textId="77777777" w:rsidR="0076142D" w:rsidRPr="0080295D" w:rsidRDefault="0080295D" w:rsidP="0076142D">
      <w:pPr>
        <w:pStyle w:val="a3"/>
        <w:tabs>
          <w:tab w:val="left" w:pos="284"/>
          <w:tab w:val="left" w:pos="851"/>
        </w:tabs>
        <w:ind w:left="0" w:firstLine="567"/>
        <w:jc w:val="both"/>
        <w:rPr>
          <w:i/>
          <w:sz w:val="26"/>
          <w:szCs w:val="26"/>
          <w:lang w:val="ru-RU"/>
        </w:rPr>
      </w:pPr>
      <w:r w:rsidRPr="0080295D">
        <w:rPr>
          <w:i/>
          <w:sz w:val="26"/>
          <w:szCs w:val="26"/>
          <w:lang w:val="ru-RU"/>
        </w:rPr>
        <w:lastRenderedPageBreak/>
        <w:t>Т</w:t>
      </w:r>
      <w:r w:rsidR="0076142D" w:rsidRPr="0080295D">
        <w:rPr>
          <w:i/>
          <w:sz w:val="26"/>
          <w:szCs w:val="26"/>
          <w:lang w:val="ru-RU"/>
        </w:rPr>
        <w:t xml:space="preserve">аким образом, для </w:t>
      </w:r>
      <w:r w:rsidRPr="0080295D">
        <w:rPr>
          <w:i/>
          <w:sz w:val="26"/>
          <w:szCs w:val="26"/>
          <w:lang w:val="ru-RU"/>
        </w:rPr>
        <w:t xml:space="preserve">оптимизации процесса </w:t>
      </w:r>
      <w:r w:rsidR="0076142D" w:rsidRPr="0080295D">
        <w:rPr>
          <w:i/>
          <w:sz w:val="26"/>
          <w:szCs w:val="26"/>
          <w:lang w:val="ru-RU"/>
        </w:rPr>
        <w:t xml:space="preserve">целесообразно реализовывать лишь один из </w:t>
      </w:r>
      <w:r>
        <w:rPr>
          <w:i/>
          <w:sz w:val="26"/>
          <w:szCs w:val="26"/>
          <w:lang w:val="ru-RU"/>
        </w:rPr>
        <w:t xml:space="preserve">предлагаемых </w:t>
      </w:r>
      <w:r w:rsidR="0076142D" w:rsidRPr="0080295D">
        <w:rPr>
          <w:i/>
          <w:sz w:val="26"/>
          <w:szCs w:val="26"/>
          <w:lang w:val="ru-RU"/>
        </w:rPr>
        <w:t xml:space="preserve">вариантов изменений. </w:t>
      </w:r>
    </w:p>
    <w:p w14:paraId="7E24E963" w14:textId="79EDE4C5" w:rsidR="001E7E0C" w:rsidRPr="00465CA2" w:rsidRDefault="001E7E0C" w:rsidP="001E7E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говорить о сроках реализации изменений, то, по информации Банка России, внесение изменений в </w:t>
      </w:r>
      <w:r w:rsidRPr="001E7E0C">
        <w:rPr>
          <w:sz w:val="26"/>
          <w:szCs w:val="26"/>
        </w:rPr>
        <w:t>Указание № 4748-У</w:t>
      </w:r>
      <w:r>
        <w:rPr>
          <w:sz w:val="26"/>
          <w:szCs w:val="26"/>
        </w:rPr>
        <w:t xml:space="preserve"> возможно до </w:t>
      </w:r>
      <w:r w:rsidRPr="001E7E0C">
        <w:rPr>
          <w:sz w:val="26"/>
          <w:szCs w:val="26"/>
        </w:rPr>
        <w:t>кон</w:t>
      </w:r>
      <w:r>
        <w:rPr>
          <w:sz w:val="26"/>
          <w:szCs w:val="26"/>
        </w:rPr>
        <w:t>ца</w:t>
      </w:r>
      <w:r w:rsidRPr="001E7E0C">
        <w:rPr>
          <w:sz w:val="26"/>
          <w:szCs w:val="26"/>
        </w:rPr>
        <w:t xml:space="preserve"> 2021 года. </w:t>
      </w:r>
      <w:r>
        <w:rPr>
          <w:sz w:val="26"/>
          <w:szCs w:val="26"/>
        </w:rPr>
        <w:t xml:space="preserve">Внесение изменений в </w:t>
      </w:r>
      <w:r w:rsidRPr="00465CA2">
        <w:rPr>
          <w:sz w:val="26"/>
          <w:szCs w:val="26"/>
        </w:rPr>
        <w:t>Федеральный закон «О рынке ценных бумаг» (в форме п</w:t>
      </w:r>
      <w:r>
        <w:rPr>
          <w:sz w:val="26"/>
          <w:szCs w:val="26"/>
        </w:rPr>
        <w:t>о</w:t>
      </w:r>
      <w:r w:rsidRPr="00465CA2">
        <w:rPr>
          <w:sz w:val="26"/>
          <w:szCs w:val="26"/>
        </w:rPr>
        <w:t xml:space="preserve">правок ко 2 чтению в законопроект об учетной инфраструктуре) </w:t>
      </w:r>
      <w:r>
        <w:rPr>
          <w:sz w:val="26"/>
          <w:szCs w:val="26"/>
        </w:rPr>
        <w:t xml:space="preserve">возможно в осеннюю </w:t>
      </w:r>
      <w:r w:rsidRPr="00465CA2">
        <w:rPr>
          <w:sz w:val="26"/>
          <w:szCs w:val="26"/>
        </w:rPr>
        <w:t>сесси</w:t>
      </w:r>
      <w:r>
        <w:rPr>
          <w:sz w:val="26"/>
          <w:szCs w:val="26"/>
        </w:rPr>
        <w:t>ю</w:t>
      </w:r>
      <w:r w:rsidRPr="00465CA2">
        <w:rPr>
          <w:sz w:val="26"/>
          <w:szCs w:val="26"/>
        </w:rPr>
        <w:t xml:space="preserve"> 2021 года (оптимистич</w:t>
      </w:r>
      <w:r>
        <w:rPr>
          <w:sz w:val="26"/>
          <w:szCs w:val="26"/>
        </w:rPr>
        <w:t>еский</w:t>
      </w:r>
      <w:r w:rsidRPr="00465CA2">
        <w:rPr>
          <w:sz w:val="26"/>
          <w:szCs w:val="26"/>
        </w:rPr>
        <w:t xml:space="preserve"> </w:t>
      </w:r>
      <w:r>
        <w:rPr>
          <w:sz w:val="26"/>
          <w:szCs w:val="26"/>
        </w:rPr>
        <w:t>сценарий</w:t>
      </w:r>
      <w:r w:rsidRPr="00465CA2">
        <w:rPr>
          <w:sz w:val="26"/>
          <w:szCs w:val="26"/>
        </w:rPr>
        <w:t xml:space="preserve">) либо </w:t>
      </w:r>
      <w:r>
        <w:rPr>
          <w:sz w:val="26"/>
          <w:szCs w:val="26"/>
        </w:rPr>
        <w:t xml:space="preserve">в </w:t>
      </w:r>
      <w:r w:rsidRPr="00465CA2">
        <w:rPr>
          <w:sz w:val="26"/>
          <w:szCs w:val="26"/>
        </w:rPr>
        <w:t>весенн</w:t>
      </w:r>
      <w:r>
        <w:rPr>
          <w:sz w:val="26"/>
          <w:szCs w:val="26"/>
        </w:rPr>
        <w:t>юю</w:t>
      </w:r>
      <w:r w:rsidRPr="00465CA2">
        <w:rPr>
          <w:sz w:val="26"/>
          <w:szCs w:val="26"/>
        </w:rPr>
        <w:t xml:space="preserve"> сесси</w:t>
      </w:r>
      <w:r>
        <w:rPr>
          <w:sz w:val="26"/>
          <w:szCs w:val="26"/>
        </w:rPr>
        <w:t>ю</w:t>
      </w:r>
      <w:r w:rsidRPr="00465CA2">
        <w:rPr>
          <w:sz w:val="26"/>
          <w:szCs w:val="26"/>
        </w:rPr>
        <w:t xml:space="preserve"> ГД РФ 2022 года</w:t>
      </w:r>
      <w:r>
        <w:rPr>
          <w:sz w:val="26"/>
          <w:szCs w:val="26"/>
        </w:rPr>
        <w:t xml:space="preserve"> с последующим внесением изменений в Указание </w:t>
      </w:r>
      <w:r w:rsidRPr="001E7E0C">
        <w:rPr>
          <w:sz w:val="26"/>
          <w:szCs w:val="26"/>
        </w:rPr>
        <w:t>№ 4748-У</w:t>
      </w:r>
      <w:r>
        <w:rPr>
          <w:sz w:val="26"/>
          <w:szCs w:val="26"/>
        </w:rPr>
        <w:t xml:space="preserve">.  </w:t>
      </w:r>
      <w:r w:rsidRPr="00465CA2">
        <w:rPr>
          <w:sz w:val="26"/>
          <w:szCs w:val="26"/>
        </w:rPr>
        <w:t xml:space="preserve"> </w:t>
      </w:r>
    </w:p>
    <w:p w14:paraId="7F5F1DC9" w14:textId="0C92DBCA" w:rsidR="00125A60" w:rsidRPr="005C3A92" w:rsidRDefault="00125A60" w:rsidP="00CE358F">
      <w:pPr>
        <w:pStyle w:val="a3"/>
        <w:ind w:left="0" w:firstLine="567"/>
        <w:jc w:val="both"/>
        <w:rPr>
          <w:sz w:val="26"/>
          <w:szCs w:val="26"/>
          <w:lang w:val="ru-RU"/>
        </w:rPr>
      </w:pPr>
      <w:r w:rsidRPr="005C3A92">
        <w:rPr>
          <w:sz w:val="26"/>
          <w:szCs w:val="26"/>
          <w:lang w:val="ru-RU"/>
        </w:rPr>
        <w:t xml:space="preserve">Отдельно прозвучала позиция представителя Службы по защите прав потребителей и обеспечению доступности финансовых услуг Банка России (далее – Служба) о том, что отмена регулирования тарифов регистратора может повлечь нарушение прав потребителей ввиду необоснованного завышения тарифов регистратора как монополиста по отношению к конкретному эмитенту. Переход зарегистрированных лиц в депозитарий представляется проблематичным ввиду консервативности потребителей </w:t>
      </w:r>
      <w:r w:rsidR="00E470D3" w:rsidRPr="005C3A92">
        <w:rPr>
          <w:sz w:val="26"/>
          <w:szCs w:val="26"/>
          <w:lang w:val="ru-RU"/>
        </w:rPr>
        <w:t xml:space="preserve">услуг регистраторов </w:t>
      </w:r>
      <w:r w:rsidRPr="005C3A92">
        <w:rPr>
          <w:sz w:val="26"/>
          <w:szCs w:val="26"/>
          <w:lang w:val="ru-RU"/>
        </w:rPr>
        <w:t xml:space="preserve">и отсутствия у большинства из них информации о возможности такого перехода. </w:t>
      </w:r>
      <w:r w:rsidR="0080295D" w:rsidRPr="005C3A92">
        <w:rPr>
          <w:sz w:val="26"/>
          <w:szCs w:val="26"/>
          <w:lang w:val="ru-RU"/>
        </w:rPr>
        <w:t xml:space="preserve">Представитель </w:t>
      </w:r>
      <w:r w:rsidRPr="005C3A92">
        <w:rPr>
          <w:sz w:val="26"/>
          <w:szCs w:val="26"/>
          <w:lang w:val="ru-RU"/>
        </w:rPr>
        <w:t>Служб</w:t>
      </w:r>
      <w:r w:rsidR="0080295D" w:rsidRPr="005C3A92">
        <w:rPr>
          <w:sz w:val="26"/>
          <w:szCs w:val="26"/>
          <w:lang w:val="ru-RU"/>
        </w:rPr>
        <w:t>ы</w:t>
      </w:r>
      <w:r w:rsidRPr="005C3A92">
        <w:rPr>
          <w:sz w:val="26"/>
          <w:szCs w:val="26"/>
          <w:lang w:val="ru-RU"/>
        </w:rPr>
        <w:t xml:space="preserve"> полагает, что отмена регулирования тариф</w:t>
      </w:r>
      <w:r w:rsidR="00EF5E2E" w:rsidRPr="005C3A92">
        <w:rPr>
          <w:sz w:val="26"/>
          <w:szCs w:val="26"/>
          <w:lang w:val="ru-RU"/>
        </w:rPr>
        <w:t>ов</w:t>
      </w:r>
      <w:r w:rsidRPr="005C3A92">
        <w:rPr>
          <w:sz w:val="26"/>
          <w:szCs w:val="26"/>
          <w:lang w:val="ru-RU"/>
        </w:rPr>
        <w:t xml:space="preserve"> регистратор</w:t>
      </w:r>
      <w:r w:rsidR="00EF5E2E" w:rsidRPr="005C3A92">
        <w:rPr>
          <w:sz w:val="26"/>
          <w:szCs w:val="26"/>
          <w:lang w:val="ru-RU"/>
        </w:rPr>
        <w:t>ов</w:t>
      </w:r>
      <w:r w:rsidRPr="005C3A92">
        <w:rPr>
          <w:sz w:val="26"/>
          <w:szCs w:val="26"/>
          <w:lang w:val="ru-RU"/>
        </w:rPr>
        <w:t xml:space="preserve"> в части проведения операций не является однозначно правильной и предложил еще раз обсудить данный вопрос. </w:t>
      </w:r>
    </w:p>
    <w:p w14:paraId="7F069C28" w14:textId="161F4C41" w:rsidR="00307C9A" w:rsidRPr="00465CA2" w:rsidRDefault="00762103" w:rsidP="00AB0BDF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Обсуждение </w:t>
      </w:r>
      <w:r w:rsidRPr="00762103">
        <w:rPr>
          <w:sz w:val="26"/>
          <w:szCs w:val="26"/>
        </w:rPr>
        <w:t xml:space="preserve">вариантов решения задачи либерализации регулирования тарифов регистраторов </w:t>
      </w:r>
      <w:r>
        <w:rPr>
          <w:sz w:val="26"/>
          <w:szCs w:val="26"/>
        </w:rPr>
        <w:t>будет продолжено в рамках</w:t>
      </w:r>
      <w:r w:rsidR="00AB0BDF" w:rsidRPr="00517D43">
        <w:rPr>
          <w:sz w:val="26"/>
          <w:szCs w:val="26"/>
        </w:rPr>
        <w:t xml:space="preserve"> Подгруппы 09 «Профучастники»</w:t>
      </w:r>
      <w:r>
        <w:rPr>
          <w:sz w:val="26"/>
          <w:szCs w:val="26"/>
        </w:rPr>
        <w:t xml:space="preserve"> после дополнительного обсуждения инициатив профессиональным сообществом в рамках СРО</w:t>
      </w:r>
      <w:r w:rsidR="00AB0BDF" w:rsidRPr="00517D43">
        <w:rPr>
          <w:sz w:val="26"/>
          <w:szCs w:val="26"/>
        </w:rPr>
        <w:t xml:space="preserve">. </w:t>
      </w:r>
    </w:p>
    <w:p w14:paraId="3BA1995A" w14:textId="77777777" w:rsidR="00125A60" w:rsidRPr="00465CA2" w:rsidRDefault="00125A60" w:rsidP="00465C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6"/>
          <w:szCs w:val="26"/>
        </w:rPr>
      </w:pPr>
    </w:p>
    <w:p w14:paraId="4184DE0C" w14:textId="77777777" w:rsidR="000D2CD5" w:rsidRPr="005C3A92" w:rsidRDefault="00125A60" w:rsidP="00465C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6"/>
          <w:szCs w:val="26"/>
        </w:rPr>
      </w:pPr>
      <w:r w:rsidRPr="00465CA2">
        <w:rPr>
          <w:b/>
          <w:sz w:val="26"/>
          <w:szCs w:val="26"/>
        </w:rPr>
        <w:t xml:space="preserve">Принятые решения: </w:t>
      </w:r>
    </w:p>
    <w:p w14:paraId="21474FB9" w14:textId="77777777" w:rsidR="00307C9A" w:rsidRPr="00465CA2" w:rsidRDefault="00125A60" w:rsidP="00465CA2">
      <w:pPr>
        <w:spacing w:after="0" w:line="240" w:lineRule="auto"/>
        <w:ind w:firstLine="567"/>
        <w:jc w:val="both"/>
        <w:rPr>
          <w:sz w:val="26"/>
          <w:szCs w:val="26"/>
        </w:rPr>
      </w:pPr>
      <w:r w:rsidRPr="00465CA2">
        <w:rPr>
          <w:sz w:val="26"/>
          <w:szCs w:val="26"/>
        </w:rPr>
        <w:t xml:space="preserve">Аналитическому центру «Форум» совместно с </w:t>
      </w:r>
      <w:r w:rsidR="000D2CD5" w:rsidRPr="00465CA2">
        <w:rPr>
          <w:sz w:val="26"/>
          <w:szCs w:val="26"/>
        </w:rPr>
        <w:t>профессиональным сообществом регистраторов</w:t>
      </w:r>
      <w:r w:rsidRPr="00465CA2">
        <w:rPr>
          <w:sz w:val="26"/>
          <w:szCs w:val="26"/>
        </w:rPr>
        <w:t xml:space="preserve">, СРО НФА, ПАРТАД провести обсуждение </w:t>
      </w:r>
      <w:r w:rsidR="000D2CD5" w:rsidRPr="00465CA2">
        <w:rPr>
          <w:sz w:val="26"/>
          <w:szCs w:val="26"/>
        </w:rPr>
        <w:t xml:space="preserve">целесообразности принятия предлагаемых изменений </w:t>
      </w:r>
      <w:r w:rsidRPr="00465CA2">
        <w:rPr>
          <w:sz w:val="26"/>
          <w:szCs w:val="26"/>
        </w:rPr>
        <w:t xml:space="preserve">в части либерализации регулирования тарифов регистраторов </w:t>
      </w:r>
      <w:r w:rsidR="000D2CD5" w:rsidRPr="00465CA2">
        <w:rPr>
          <w:sz w:val="26"/>
          <w:szCs w:val="26"/>
        </w:rPr>
        <w:t xml:space="preserve">в Варианте 1 либо в Варианте 2. </w:t>
      </w:r>
    </w:p>
    <w:p w14:paraId="47CA2C1F" w14:textId="749EA387" w:rsidR="00125A60" w:rsidRPr="00465CA2" w:rsidRDefault="00125A60" w:rsidP="00465CA2">
      <w:pPr>
        <w:spacing w:after="0" w:line="240" w:lineRule="auto"/>
        <w:ind w:firstLine="567"/>
        <w:jc w:val="both"/>
        <w:rPr>
          <w:sz w:val="26"/>
          <w:szCs w:val="26"/>
        </w:rPr>
      </w:pPr>
      <w:r w:rsidRPr="00465CA2">
        <w:rPr>
          <w:sz w:val="26"/>
          <w:szCs w:val="26"/>
        </w:rPr>
        <w:t>Представителям Службы п</w:t>
      </w:r>
      <w:r w:rsidR="00307C9A" w:rsidRPr="00465CA2">
        <w:rPr>
          <w:sz w:val="26"/>
          <w:szCs w:val="26"/>
        </w:rPr>
        <w:t xml:space="preserve">ринять участие в указанном </w:t>
      </w:r>
      <w:r w:rsidRPr="00465CA2">
        <w:rPr>
          <w:sz w:val="26"/>
          <w:szCs w:val="26"/>
        </w:rPr>
        <w:t xml:space="preserve">обсуждении. </w:t>
      </w:r>
    </w:p>
    <w:p w14:paraId="320B78C7" w14:textId="77777777" w:rsidR="00307C9A" w:rsidRPr="00465CA2" w:rsidRDefault="00307C9A" w:rsidP="00465CA2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R="00307C9A" w:rsidRPr="00465CA2" w:rsidSect="003F3CAC">
      <w:headerReference w:type="default" r:id="rId9"/>
      <w:footerReference w:type="default" r:id="rId10"/>
      <w:pgSz w:w="11906" w:h="16838"/>
      <w:pgMar w:top="993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10385" w14:textId="77777777" w:rsidR="00AF40A5" w:rsidRDefault="00AF40A5">
      <w:pPr>
        <w:spacing w:after="0" w:line="240" w:lineRule="auto"/>
      </w:pPr>
      <w:r>
        <w:separator/>
      </w:r>
    </w:p>
  </w:endnote>
  <w:endnote w:type="continuationSeparator" w:id="0">
    <w:p w14:paraId="3B9B90D2" w14:textId="77777777" w:rsidR="00AF40A5" w:rsidRDefault="00AF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8288922"/>
      <w:docPartObj>
        <w:docPartGallery w:val="Page Numbers (Bottom of Page)"/>
        <w:docPartUnique/>
      </w:docPartObj>
    </w:sdtPr>
    <w:sdtEndPr/>
    <w:sdtContent>
      <w:p w14:paraId="3D1C55A3" w14:textId="534040B8" w:rsidR="003F3CAC" w:rsidRDefault="003F3C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D6C">
          <w:rPr>
            <w:noProof/>
          </w:rPr>
          <w:t>3</w:t>
        </w:r>
        <w:r>
          <w:fldChar w:fldCharType="end"/>
        </w:r>
      </w:p>
    </w:sdtContent>
  </w:sdt>
  <w:p w14:paraId="030E2416" w14:textId="77777777" w:rsidR="003F3CAC" w:rsidRDefault="003F3C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4C538" w14:textId="77777777" w:rsidR="00AF40A5" w:rsidRDefault="00AF40A5">
      <w:pPr>
        <w:spacing w:after="0" w:line="240" w:lineRule="auto"/>
      </w:pPr>
      <w:r>
        <w:separator/>
      </w:r>
    </w:p>
  </w:footnote>
  <w:footnote w:type="continuationSeparator" w:id="0">
    <w:p w14:paraId="24DF4BD0" w14:textId="77777777" w:rsidR="00AF40A5" w:rsidRDefault="00AF40A5">
      <w:pPr>
        <w:spacing w:after="0" w:line="240" w:lineRule="auto"/>
      </w:pPr>
      <w:r>
        <w:continuationSeparator/>
      </w:r>
    </w:p>
  </w:footnote>
  <w:footnote w:id="1">
    <w:p w14:paraId="717C7021" w14:textId="77777777" w:rsidR="003F3CAC" w:rsidRDefault="003F3CAC" w:rsidP="00436BAF">
      <w:pPr>
        <w:pStyle w:val="a9"/>
        <w:jc w:val="both"/>
      </w:pPr>
      <w:r>
        <w:rPr>
          <w:rStyle w:val="ab"/>
        </w:rPr>
        <w:footnoteRef/>
      </w:r>
      <w:r>
        <w:t xml:space="preserve"> Статьей 8 Федерального закона «О рынке ценных бумаг» указано, что размер м</w:t>
      </w:r>
      <w:hyperlink r:id="rId1" w:history="1">
        <w:r w:rsidRPr="002862EF">
          <w:t>аксимальной</w:t>
        </w:r>
      </w:hyperlink>
      <w:r>
        <w:t xml:space="preserve"> платы, взимаемой держателем реестра с зарегистрированных лиц, … и (или) порядок ее определения устанавливаются Банком России, т.е. не предусматривается возможность Банка России устанавливать ее лишь в отношении отдельных операций.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31499" w14:textId="77777777" w:rsidR="003F3CAC" w:rsidRDefault="003F3CAC">
    <w:pPr>
      <w:pStyle w:val="a5"/>
      <w:jc w:val="center"/>
    </w:pPr>
  </w:p>
  <w:p w14:paraId="2E7A0547" w14:textId="77777777" w:rsidR="003F3CAC" w:rsidRDefault="003F3C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07CA5"/>
    <w:multiLevelType w:val="hybridMultilevel"/>
    <w:tmpl w:val="59FE021C"/>
    <w:lvl w:ilvl="0" w:tplc="8F5065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91D1A"/>
    <w:multiLevelType w:val="hybridMultilevel"/>
    <w:tmpl w:val="94AADAC2"/>
    <w:lvl w:ilvl="0" w:tplc="8312A7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BB6A35"/>
    <w:multiLevelType w:val="multilevel"/>
    <w:tmpl w:val="48F08F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3">
    <w:nsid w:val="5AF66888"/>
    <w:multiLevelType w:val="hybridMultilevel"/>
    <w:tmpl w:val="361AFE82"/>
    <w:lvl w:ilvl="0" w:tplc="170A5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21C07F7"/>
    <w:multiLevelType w:val="hybridMultilevel"/>
    <w:tmpl w:val="41FA8B62"/>
    <w:lvl w:ilvl="0" w:tplc="BE3218C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C6"/>
    <w:rsid w:val="000043E3"/>
    <w:rsid w:val="0003046F"/>
    <w:rsid w:val="000438EA"/>
    <w:rsid w:val="000469C9"/>
    <w:rsid w:val="00066032"/>
    <w:rsid w:val="00086C2A"/>
    <w:rsid w:val="000C3E25"/>
    <w:rsid w:val="000C76E2"/>
    <w:rsid w:val="000D2CD5"/>
    <w:rsid w:val="000F11C7"/>
    <w:rsid w:val="00115381"/>
    <w:rsid w:val="00125A60"/>
    <w:rsid w:val="00160C8F"/>
    <w:rsid w:val="0017050F"/>
    <w:rsid w:val="001807BB"/>
    <w:rsid w:val="001A4CDA"/>
    <w:rsid w:val="001C092E"/>
    <w:rsid w:val="001E7E0C"/>
    <w:rsid w:val="00200BD6"/>
    <w:rsid w:val="00204593"/>
    <w:rsid w:val="0024163B"/>
    <w:rsid w:val="002862EF"/>
    <w:rsid w:val="0029187D"/>
    <w:rsid w:val="002B549E"/>
    <w:rsid w:val="002E2434"/>
    <w:rsid w:val="00306BCE"/>
    <w:rsid w:val="00307C9A"/>
    <w:rsid w:val="0031634B"/>
    <w:rsid w:val="00323532"/>
    <w:rsid w:val="00360283"/>
    <w:rsid w:val="0038486B"/>
    <w:rsid w:val="003B7654"/>
    <w:rsid w:val="003C586C"/>
    <w:rsid w:val="003E1A8C"/>
    <w:rsid w:val="003F3CAC"/>
    <w:rsid w:val="00413140"/>
    <w:rsid w:val="00416F35"/>
    <w:rsid w:val="00420912"/>
    <w:rsid w:val="00436BAF"/>
    <w:rsid w:val="00441891"/>
    <w:rsid w:val="004631EF"/>
    <w:rsid w:val="00465CA2"/>
    <w:rsid w:val="00491D80"/>
    <w:rsid w:val="00494E6B"/>
    <w:rsid w:val="004A5105"/>
    <w:rsid w:val="004C1BF7"/>
    <w:rsid w:val="004C5516"/>
    <w:rsid w:val="004E4A56"/>
    <w:rsid w:val="00511ABF"/>
    <w:rsid w:val="00511F92"/>
    <w:rsid w:val="00517D43"/>
    <w:rsid w:val="00537D97"/>
    <w:rsid w:val="005546E9"/>
    <w:rsid w:val="005852AA"/>
    <w:rsid w:val="005A5F88"/>
    <w:rsid w:val="005B22CB"/>
    <w:rsid w:val="005C2918"/>
    <w:rsid w:val="005C378B"/>
    <w:rsid w:val="005C3A92"/>
    <w:rsid w:val="00607BD7"/>
    <w:rsid w:val="00613ACD"/>
    <w:rsid w:val="00620271"/>
    <w:rsid w:val="0067246F"/>
    <w:rsid w:val="00673DEA"/>
    <w:rsid w:val="00686373"/>
    <w:rsid w:val="006A05F9"/>
    <w:rsid w:val="006B1C57"/>
    <w:rsid w:val="00717166"/>
    <w:rsid w:val="00740E0D"/>
    <w:rsid w:val="007449EA"/>
    <w:rsid w:val="007471DF"/>
    <w:rsid w:val="0076142D"/>
    <w:rsid w:val="00762103"/>
    <w:rsid w:val="0078253C"/>
    <w:rsid w:val="007863DF"/>
    <w:rsid w:val="0080295D"/>
    <w:rsid w:val="00811D36"/>
    <w:rsid w:val="008124B1"/>
    <w:rsid w:val="00823845"/>
    <w:rsid w:val="008819E8"/>
    <w:rsid w:val="00895C3A"/>
    <w:rsid w:val="008E0AAD"/>
    <w:rsid w:val="0093596D"/>
    <w:rsid w:val="00945646"/>
    <w:rsid w:val="00956910"/>
    <w:rsid w:val="00956D40"/>
    <w:rsid w:val="0096018B"/>
    <w:rsid w:val="009620AD"/>
    <w:rsid w:val="009B7287"/>
    <w:rsid w:val="009E23C6"/>
    <w:rsid w:val="009E3BD9"/>
    <w:rsid w:val="009F7717"/>
    <w:rsid w:val="00A10F10"/>
    <w:rsid w:val="00A25123"/>
    <w:rsid w:val="00A60FED"/>
    <w:rsid w:val="00A61725"/>
    <w:rsid w:val="00AB0BDF"/>
    <w:rsid w:val="00AC514F"/>
    <w:rsid w:val="00AE01DC"/>
    <w:rsid w:val="00AE4822"/>
    <w:rsid w:val="00AF40A5"/>
    <w:rsid w:val="00B044E2"/>
    <w:rsid w:val="00B110FF"/>
    <w:rsid w:val="00B35252"/>
    <w:rsid w:val="00B358BF"/>
    <w:rsid w:val="00B44DEE"/>
    <w:rsid w:val="00B60E98"/>
    <w:rsid w:val="00BB4DE7"/>
    <w:rsid w:val="00BC39A4"/>
    <w:rsid w:val="00BE721B"/>
    <w:rsid w:val="00C036B1"/>
    <w:rsid w:val="00C4127D"/>
    <w:rsid w:val="00C65717"/>
    <w:rsid w:val="00C8451D"/>
    <w:rsid w:val="00C93712"/>
    <w:rsid w:val="00C93E50"/>
    <w:rsid w:val="00CC3618"/>
    <w:rsid w:val="00CC5818"/>
    <w:rsid w:val="00CE0225"/>
    <w:rsid w:val="00CE358F"/>
    <w:rsid w:val="00CF0715"/>
    <w:rsid w:val="00D201E6"/>
    <w:rsid w:val="00D23AD7"/>
    <w:rsid w:val="00D25CAB"/>
    <w:rsid w:val="00D66D6C"/>
    <w:rsid w:val="00D878DA"/>
    <w:rsid w:val="00DB6E25"/>
    <w:rsid w:val="00DF053D"/>
    <w:rsid w:val="00DF41C3"/>
    <w:rsid w:val="00E0270D"/>
    <w:rsid w:val="00E04543"/>
    <w:rsid w:val="00E409BE"/>
    <w:rsid w:val="00E470D3"/>
    <w:rsid w:val="00E9354B"/>
    <w:rsid w:val="00EF5E2E"/>
    <w:rsid w:val="00F2512A"/>
    <w:rsid w:val="00F61E5E"/>
    <w:rsid w:val="00F65C09"/>
    <w:rsid w:val="00F90173"/>
    <w:rsid w:val="00FB7AC7"/>
    <w:rsid w:val="00FE0817"/>
    <w:rsid w:val="00FE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B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C6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Абзац,Bullet List,FooterText,numbered,Содержание. 2 уровень,AC List 01,Bulleted Text,Bullets before"/>
    <w:basedOn w:val="a"/>
    <w:link w:val="a4"/>
    <w:qFormat/>
    <w:rsid w:val="009E23C6"/>
    <w:pPr>
      <w:spacing w:after="0" w:line="240" w:lineRule="auto"/>
      <w:ind w:left="720"/>
      <w:contextualSpacing/>
    </w:pPr>
    <w:rPr>
      <w:rFonts w:eastAsia="Times New Roman"/>
      <w:lang w:val="en-US"/>
    </w:rPr>
  </w:style>
  <w:style w:type="character" w:customStyle="1" w:styleId="a4">
    <w:name w:val="Абзац списка Знак"/>
    <w:aliases w:val="Table-Normal Знак,RSHB_Table-Normal Знак,Абзац Знак,Bullet List Знак,FooterText Знак,numbered Знак,Содержание. 2 уровень Знак,AC List 01 Знак,Bulleted Text Знак,Bullets before Знак"/>
    <w:basedOn w:val="a0"/>
    <w:link w:val="a3"/>
    <w:uiPriority w:val="34"/>
    <w:locked/>
    <w:rsid w:val="009E23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header"/>
    <w:basedOn w:val="a"/>
    <w:link w:val="1"/>
    <w:uiPriority w:val="99"/>
    <w:unhideWhenUsed/>
    <w:rsid w:val="009E2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uiPriority w:val="99"/>
    <w:semiHidden/>
    <w:rsid w:val="009E23C6"/>
    <w:rPr>
      <w:rFonts w:ascii="Times New Roman" w:hAnsi="Times New Roman" w:cs="Times New Roman"/>
      <w:sz w:val="24"/>
      <w:szCs w:val="24"/>
    </w:rPr>
  </w:style>
  <w:style w:type="character" w:customStyle="1" w:styleId="1">
    <w:name w:val="Верхний колонтитул Знак1"/>
    <w:basedOn w:val="a0"/>
    <w:link w:val="a5"/>
    <w:uiPriority w:val="99"/>
    <w:rsid w:val="009E23C6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E2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23C6"/>
    <w:rPr>
      <w:rFonts w:ascii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CC581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C5818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C5818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4C5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C5516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C291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C291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C2918"/>
    <w:rPr>
      <w:rFonts w:ascii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C291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C2918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C6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Абзац,Bullet List,FooterText,numbered,Содержание. 2 уровень,AC List 01,Bulleted Text,Bullets before"/>
    <w:basedOn w:val="a"/>
    <w:link w:val="a4"/>
    <w:qFormat/>
    <w:rsid w:val="009E23C6"/>
    <w:pPr>
      <w:spacing w:after="0" w:line="240" w:lineRule="auto"/>
      <w:ind w:left="720"/>
      <w:contextualSpacing/>
    </w:pPr>
    <w:rPr>
      <w:rFonts w:eastAsia="Times New Roman"/>
      <w:lang w:val="en-US"/>
    </w:rPr>
  </w:style>
  <w:style w:type="character" w:customStyle="1" w:styleId="a4">
    <w:name w:val="Абзац списка Знак"/>
    <w:aliases w:val="Table-Normal Знак,RSHB_Table-Normal Знак,Абзац Знак,Bullet List Знак,FooterText Знак,numbered Знак,Содержание. 2 уровень Знак,AC List 01 Знак,Bulleted Text Знак,Bullets before Знак"/>
    <w:basedOn w:val="a0"/>
    <w:link w:val="a3"/>
    <w:uiPriority w:val="34"/>
    <w:locked/>
    <w:rsid w:val="009E23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header"/>
    <w:basedOn w:val="a"/>
    <w:link w:val="1"/>
    <w:uiPriority w:val="99"/>
    <w:unhideWhenUsed/>
    <w:rsid w:val="009E2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uiPriority w:val="99"/>
    <w:semiHidden/>
    <w:rsid w:val="009E23C6"/>
    <w:rPr>
      <w:rFonts w:ascii="Times New Roman" w:hAnsi="Times New Roman" w:cs="Times New Roman"/>
      <w:sz w:val="24"/>
      <w:szCs w:val="24"/>
    </w:rPr>
  </w:style>
  <w:style w:type="character" w:customStyle="1" w:styleId="1">
    <w:name w:val="Верхний колонтитул Знак1"/>
    <w:basedOn w:val="a0"/>
    <w:link w:val="a5"/>
    <w:uiPriority w:val="99"/>
    <w:rsid w:val="009E23C6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E2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23C6"/>
    <w:rPr>
      <w:rFonts w:ascii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CC581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C5818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C5818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4C5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C5516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C291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C291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C2918"/>
    <w:rPr>
      <w:rFonts w:ascii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C291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C291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E4030F1EBCC6B94F30448EFF78B9312EA2774C6C70205F16A1B55C61F0F2C63A0F523FC7C73303F1BE38F029DCCFA1B8FC3343B881D48702U2q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0E537-40B3-44A2-ABFF-F7B1BE75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Menshikova Anna</dc:creator>
  <cp:lastModifiedBy>Марина</cp:lastModifiedBy>
  <cp:revision>2</cp:revision>
  <dcterms:created xsi:type="dcterms:W3CDTF">2020-12-10T09:58:00Z</dcterms:created>
  <dcterms:modified xsi:type="dcterms:W3CDTF">2020-12-10T09:58:00Z</dcterms:modified>
</cp:coreProperties>
</file>