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012EC" w14:textId="38AE5739" w:rsidR="004900AB" w:rsidRDefault="004900AB" w:rsidP="004900AB">
      <w:pPr>
        <w:spacing w:after="0" w:line="240" w:lineRule="auto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2E777ACA" w14:textId="77777777" w:rsidR="004900AB" w:rsidRDefault="004900AB" w:rsidP="004900AB">
      <w:pPr>
        <w:spacing w:after="0" w:line="240" w:lineRule="auto"/>
        <w:ind w:firstLine="426"/>
        <w:jc w:val="right"/>
        <w:rPr>
          <w:b/>
          <w:sz w:val="28"/>
          <w:szCs w:val="28"/>
        </w:rPr>
      </w:pPr>
    </w:p>
    <w:p w14:paraId="6AE66199" w14:textId="2F59FCFE" w:rsidR="00B34185" w:rsidRPr="00097751" w:rsidRDefault="00CC06D7" w:rsidP="00A14DCB">
      <w:pPr>
        <w:spacing w:after="0" w:line="24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Поддержанные</w:t>
      </w:r>
      <w:r w:rsidR="00656933" w:rsidRPr="00097751">
        <w:rPr>
          <w:b/>
          <w:sz w:val="28"/>
          <w:szCs w:val="28"/>
        </w:rPr>
        <w:t xml:space="preserve"> Банком России предложени</w:t>
      </w:r>
      <w:r>
        <w:rPr>
          <w:b/>
          <w:sz w:val="28"/>
          <w:szCs w:val="28"/>
        </w:rPr>
        <w:t xml:space="preserve">я </w:t>
      </w:r>
      <w:r w:rsidR="00656933" w:rsidRPr="00097751">
        <w:rPr>
          <w:b/>
          <w:sz w:val="28"/>
          <w:szCs w:val="28"/>
        </w:rPr>
        <w:t>ПАРТАД</w:t>
      </w:r>
      <w:r w:rsidR="00F54E22" w:rsidRPr="00097751">
        <w:rPr>
          <w:b/>
          <w:sz w:val="28"/>
          <w:szCs w:val="28"/>
        </w:rPr>
        <w:t xml:space="preserve"> по оптимизации регуляторной нагрузки н</w:t>
      </w:r>
      <w:r w:rsidR="00656933" w:rsidRPr="00097751">
        <w:rPr>
          <w:b/>
          <w:sz w:val="28"/>
          <w:szCs w:val="28"/>
        </w:rPr>
        <w:t>а участников финансового рынка</w:t>
      </w:r>
      <w:r w:rsidR="008A757C">
        <w:rPr>
          <w:b/>
          <w:sz w:val="28"/>
          <w:szCs w:val="28"/>
        </w:rPr>
        <w:t xml:space="preserve"> (</w:t>
      </w:r>
      <w:r w:rsidR="008A757C" w:rsidRPr="008A757C">
        <w:rPr>
          <w:b/>
          <w:sz w:val="28"/>
          <w:szCs w:val="28"/>
          <w:u w:val="single"/>
        </w:rPr>
        <w:t>по итогам заседания 12.12.2019</w:t>
      </w:r>
      <w:r w:rsidR="008A757C">
        <w:rPr>
          <w:b/>
          <w:sz w:val="28"/>
          <w:szCs w:val="28"/>
        </w:rPr>
        <w:t>)</w:t>
      </w:r>
      <w:r w:rsidR="00656933" w:rsidRPr="00097751">
        <w:rPr>
          <w:b/>
          <w:sz w:val="28"/>
          <w:szCs w:val="28"/>
        </w:rPr>
        <w:t>.</w:t>
      </w:r>
    </w:p>
    <w:p w14:paraId="51C41855" w14:textId="77777777" w:rsidR="00B34185" w:rsidRPr="00097751" w:rsidRDefault="00B34185" w:rsidP="00B34185">
      <w:pPr>
        <w:pStyle w:val="a8"/>
        <w:tabs>
          <w:tab w:val="left" w:pos="567"/>
        </w:tabs>
        <w:ind w:left="426"/>
        <w:jc w:val="both"/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01"/>
        <w:gridCol w:w="6775"/>
        <w:gridCol w:w="5387"/>
      </w:tblGrid>
      <w:tr w:rsidR="003E081B" w:rsidRPr="00097751" w14:paraId="2F6B891D" w14:textId="77777777" w:rsidTr="001B4C51">
        <w:tc>
          <w:tcPr>
            <w:tcW w:w="846" w:type="dxa"/>
          </w:tcPr>
          <w:p w14:paraId="4DE2C974" w14:textId="77777777" w:rsidR="003E081B" w:rsidRPr="00097751" w:rsidRDefault="003E081B" w:rsidP="003C4F59">
            <w:pPr>
              <w:spacing w:after="0" w:line="240" w:lineRule="auto"/>
              <w:jc w:val="center"/>
            </w:pPr>
            <w:r w:rsidRPr="00097751">
              <w:t>№</w:t>
            </w:r>
          </w:p>
        </w:tc>
        <w:tc>
          <w:tcPr>
            <w:tcW w:w="1701" w:type="dxa"/>
          </w:tcPr>
          <w:p w14:paraId="10574135" w14:textId="77777777" w:rsidR="003E081B" w:rsidRPr="00097751" w:rsidRDefault="003E081B" w:rsidP="003C4F59">
            <w:pPr>
              <w:spacing w:after="0" w:line="240" w:lineRule="auto"/>
              <w:jc w:val="center"/>
            </w:pPr>
            <w:r w:rsidRPr="00097751">
              <w:t>Автор инициативы</w:t>
            </w:r>
          </w:p>
        </w:tc>
        <w:tc>
          <w:tcPr>
            <w:tcW w:w="6775" w:type="dxa"/>
          </w:tcPr>
          <w:p w14:paraId="7E6D4E77" w14:textId="77777777" w:rsidR="003E081B" w:rsidRPr="00097751" w:rsidRDefault="003E081B" w:rsidP="003C4F59">
            <w:pPr>
              <w:spacing w:after="0" w:line="240" w:lineRule="auto"/>
              <w:jc w:val="center"/>
            </w:pPr>
            <w:r w:rsidRPr="00097751">
              <w:t>Ссылка на пункт отменяемого или изменяемого нормативного акта</w:t>
            </w:r>
          </w:p>
        </w:tc>
        <w:tc>
          <w:tcPr>
            <w:tcW w:w="5387" w:type="dxa"/>
          </w:tcPr>
          <w:p w14:paraId="42681E9F" w14:textId="77777777" w:rsidR="003E081B" w:rsidRPr="00097751" w:rsidRDefault="003E081B" w:rsidP="003C4F59">
            <w:pPr>
              <w:spacing w:after="0" w:line="240" w:lineRule="auto"/>
              <w:jc w:val="center"/>
            </w:pPr>
            <w:r w:rsidRPr="00097751">
              <w:t>Решение подгруппы</w:t>
            </w:r>
          </w:p>
        </w:tc>
      </w:tr>
      <w:tr w:rsidR="00B94C70" w:rsidRPr="00097751" w14:paraId="31FECD2A" w14:textId="77777777" w:rsidTr="001B4C51">
        <w:trPr>
          <w:trHeight w:val="609"/>
        </w:trPr>
        <w:tc>
          <w:tcPr>
            <w:tcW w:w="846" w:type="dxa"/>
          </w:tcPr>
          <w:p w14:paraId="547D2EFE" w14:textId="057FE797" w:rsidR="00B94C70" w:rsidRPr="00097751" w:rsidRDefault="00B94C70" w:rsidP="003C4F59">
            <w:pPr>
              <w:spacing w:after="0" w:line="240" w:lineRule="auto"/>
              <w:jc w:val="center"/>
            </w:pPr>
            <w:r w:rsidRPr="001E66A9">
              <w:t>09-33</w:t>
            </w:r>
          </w:p>
        </w:tc>
        <w:tc>
          <w:tcPr>
            <w:tcW w:w="1701" w:type="dxa"/>
          </w:tcPr>
          <w:p w14:paraId="16E44B79" w14:textId="77777777" w:rsidR="00B94C70" w:rsidRPr="001E66A9" w:rsidRDefault="00B94C70" w:rsidP="006B68BA">
            <w:pPr>
              <w:jc w:val="center"/>
            </w:pPr>
            <w:r w:rsidRPr="001E66A9">
              <w:t>ПАРТАД</w:t>
            </w:r>
          </w:p>
          <w:p w14:paraId="6180BB16" w14:textId="77777777" w:rsidR="00B94C70" w:rsidRPr="00097751" w:rsidRDefault="00B94C70" w:rsidP="001B3BF5">
            <w:pPr>
              <w:spacing w:after="0" w:line="240" w:lineRule="auto"/>
              <w:jc w:val="center"/>
            </w:pPr>
          </w:p>
        </w:tc>
        <w:tc>
          <w:tcPr>
            <w:tcW w:w="6775" w:type="dxa"/>
          </w:tcPr>
          <w:p w14:paraId="7FFD6E42" w14:textId="77777777" w:rsidR="00B94C70" w:rsidRDefault="00B94C70" w:rsidP="00926E48">
            <w:pPr>
              <w:spacing w:after="0" w:line="240" w:lineRule="auto"/>
              <w:jc w:val="both"/>
            </w:pPr>
            <w:proofErr w:type="gramStart"/>
            <w:r w:rsidRPr="001E66A9">
              <w:rPr>
                <w:b/>
              </w:rPr>
              <w:t>Пункт 2.4.6 Положения Банка России от 27.07.2015 №481-П</w:t>
            </w:r>
            <w:r w:rsidRPr="001E66A9">
              <w:t xml:space="preserve">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</w:t>
            </w:r>
            <w:proofErr w:type="gramEnd"/>
            <w:r w:rsidRPr="001E66A9">
              <w:t xml:space="preserve"> рынка ценных бумаг»</w:t>
            </w:r>
          </w:p>
          <w:p w14:paraId="555808A2" w14:textId="29811A19" w:rsidR="00926E48" w:rsidRPr="001E66A9" w:rsidRDefault="00847FF4" w:rsidP="00926E48">
            <w:pPr>
              <w:spacing w:after="0" w:line="240" w:lineRule="auto"/>
              <w:jc w:val="both"/>
              <w:rPr>
                <w:rFonts w:eastAsia="Times New Roman"/>
                <w:color w:val="222222"/>
                <w:lang w:eastAsia="ru-RU"/>
              </w:rPr>
            </w:pPr>
            <w:r w:rsidRPr="00847FF4">
              <w:rPr>
                <w:b/>
              </w:rPr>
              <w:t>Предлагается</w:t>
            </w:r>
            <w:r w:rsidRPr="001E66A9">
              <w:t xml:space="preserve"> </w:t>
            </w:r>
            <w:r w:rsidR="00926E48" w:rsidRPr="001E66A9">
              <w:rPr>
                <w:rFonts w:eastAsia="Times New Roman"/>
                <w:color w:val="222222"/>
                <w:lang w:eastAsia="ru-RU"/>
              </w:rPr>
              <w:t xml:space="preserve">уточнить и </w:t>
            </w:r>
            <w:proofErr w:type="spellStart"/>
            <w:r w:rsidR="00926E48" w:rsidRPr="001E66A9">
              <w:rPr>
                <w:rFonts w:eastAsia="Times New Roman"/>
                <w:color w:val="222222"/>
                <w:lang w:eastAsia="ru-RU"/>
              </w:rPr>
              <w:t>версифицировать</w:t>
            </w:r>
            <w:proofErr w:type="spellEnd"/>
            <w:r w:rsidR="00926E48" w:rsidRPr="001E66A9">
              <w:rPr>
                <w:rFonts w:eastAsia="Times New Roman"/>
                <w:color w:val="222222"/>
                <w:lang w:eastAsia="ru-RU"/>
              </w:rPr>
              <w:t xml:space="preserve"> лицензионное требование о региональном уровне предоставления услуг регистраторов посредством филиальных или трансфер-агентских сетей. </w:t>
            </w:r>
            <w:proofErr w:type="gramStart"/>
            <w:r w:rsidR="00926E48" w:rsidRPr="001E66A9">
              <w:rPr>
                <w:rFonts w:eastAsia="Times New Roman"/>
                <w:color w:val="222222"/>
                <w:lang w:eastAsia="ru-RU"/>
              </w:rPr>
              <w:t>С учетом развития интернет-технологий и покрытия значительной части территории РФ, на которой проживает не менее 95 процентов населения страны (акционеров АО) устойчивой мобильной связью, сопряженной с доступом в интернет (</w:t>
            </w:r>
            <w:r w:rsidR="00926E48">
              <w:rPr>
                <w:rFonts w:eastAsia="Times New Roman"/>
                <w:b/>
                <w:color w:val="222222"/>
                <w:lang w:eastAsia="ru-RU"/>
              </w:rPr>
              <w:t>см. П</w:t>
            </w:r>
            <w:r w:rsidR="00926E48" w:rsidRPr="001E66A9">
              <w:rPr>
                <w:rFonts w:eastAsia="Times New Roman"/>
                <w:b/>
                <w:color w:val="222222"/>
                <w:lang w:eastAsia="ru-RU"/>
              </w:rPr>
              <w:t>риложения 1, 2</w:t>
            </w:r>
            <w:r w:rsidR="00926E48" w:rsidRPr="001E66A9">
              <w:rPr>
                <w:rFonts w:eastAsia="Times New Roman"/>
                <w:color w:val="222222"/>
                <w:lang w:eastAsia="ru-RU"/>
              </w:rPr>
              <w:t xml:space="preserve">), предлагается дополнить существующее лицензионное требование следующим альтернативным способом его реализации, смягчающим регуляторную нагрузку на регистраторов и основанном на развитии цифровых технологий. </w:t>
            </w:r>
            <w:proofErr w:type="gramEnd"/>
          </w:p>
          <w:p w14:paraId="2D501A3A" w14:textId="77777777" w:rsidR="00926E48" w:rsidRPr="001E66A9" w:rsidRDefault="00926E48" w:rsidP="00926E48">
            <w:pPr>
              <w:spacing w:after="0" w:line="240" w:lineRule="auto"/>
              <w:jc w:val="both"/>
              <w:rPr>
                <w:rFonts w:eastAsia="Times New Roman"/>
                <w:color w:val="222222"/>
                <w:lang w:eastAsia="ru-RU"/>
              </w:rPr>
            </w:pPr>
            <w:r w:rsidRPr="001E66A9">
              <w:rPr>
                <w:rFonts w:eastAsia="Times New Roman"/>
                <w:color w:val="222222"/>
                <w:lang w:eastAsia="ru-RU"/>
              </w:rPr>
              <w:t xml:space="preserve">А именно:  </w:t>
            </w:r>
          </w:p>
          <w:p w14:paraId="22961BA7" w14:textId="750AE1B5" w:rsidR="00065B07" w:rsidRPr="00097751" w:rsidRDefault="00926E48" w:rsidP="00926E48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1E66A9">
              <w:rPr>
                <w:rFonts w:eastAsia="Times New Roman"/>
                <w:color w:val="222222"/>
                <w:lang w:eastAsia="ru-RU"/>
              </w:rPr>
              <w:t xml:space="preserve">допустить сокращение не более чем вдвое количества субъектов Федерации, в которых должны быть представлены филиалы или трансфер-агенты регистраторов при условии, если регистратор обеспечивает доступ к своим услугам по сети Интернет с соблюдением требований информационной безопасности и надлежащей идентификации, </w:t>
            </w:r>
            <w:r w:rsidRPr="001E66A9">
              <w:rPr>
                <w:rFonts w:eastAsia="Times New Roman"/>
                <w:color w:val="222222"/>
                <w:lang w:eastAsia="ru-RU"/>
              </w:rPr>
              <w:lastRenderedPageBreak/>
              <w:t>зарегистрированных лиц используя индивидуальные или коллективные (отраслевые) платформенные решения, основанные на применении современных цифровых технологий.</w:t>
            </w:r>
            <w:proofErr w:type="gramEnd"/>
          </w:p>
        </w:tc>
        <w:tc>
          <w:tcPr>
            <w:tcW w:w="5387" w:type="dxa"/>
          </w:tcPr>
          <w:p w14:paraId="62155A58" w14:textId="77777777" w:rsidR="00065B07" w:rsidRPr="00ED18D1" w:rsidRDefault="00065B07" w:rsidP="00065B07">
            <w:pPr>
              <w:spacing w:after="0" w:line="240" w:lineRule="auto"/>
              <w:jc w:val="both"/>
            </w:pPr>
            <w:r w:rsidRPr="00ED18D1">
              <w:rPr>
                <w:b/>
              </w:rPr>
              <w:lastRenderedPageBreak/>
              <w:t>Поддержано при условии предоставления инициатором статистики,</w:t>
            </w:r>
            <w:r w:rsidRPr="00ED18D1">
              <w:t xml:space="preserve"> позволяющей оценить соотношение пользы от соблюдения рассматриваемого лицензионного требования (минимальное количество субъектов РФ, в которых регистратору необходимо обеспечить прием документов через трансфер-агентов и филиалы) и издержек, которые несет регистратор. </w:t>
            </w:r>
          </w:p>
          <w:p w14:paraId="6837D582" w14:textId="77777777" w:rsidR="00065B07" w:rsidRPr="00ED18D1" w:rsidRDefault="00065B07" w:rsidP="00065B07">
            <w:pPr>
              <w:spacing w:after="0" w:line="240" w:lineRule="auto"/>
              <w:jc w:val="both"/>
              <w:rPr>
                <w:b/>
              </w:rPr>
            </w:pPr>
            <w:r w:rsidRPr="00ED18D1">
              <w:t xml:space="preserve">Речь может идти о частоте обращений зарегистрированных лиц за соответствующими услугами, их доле в общем составе услуг, издержках на содержание трансфер-агентов и филиалов и т.п. </w:t>
            </w:r>
          </w:p>
          <w:p w14:paraId="4106B983" w14:textId="77777777" w:rsidR="00065B07" w:rsidRPr="00ED18D1" w:rsidRDefault="00065B07" w:rsidP="00065B07">
            <w:pPr>
              <w:spacing w:after="0" w:line="240" w:lineRule="auto"/>
              <w:jc w:val="both"/>
            </w:pPr>
            <w:r w:rsidRPr="00ED18D1">
              <w:t xml:space="preserve">В результате анализа соответствующей статистики можно рассматривать вопрос не только о либерализации, но и об отмене рассматриваемого требования. </w:t>
            </w:r>
          </w:p>
          <w:p w14:paraId="73AF9547" w14:textId="3A07B5E6" w:rsidR="00B94C70" w:rsidRPr="00097751" w:rsidRDefault="00065B07" w:rsidP="00065B07">
            <w:pPr>
              <w:spacing w:after="0" w:line="240" w:lineRule="auto"/>
              <w:jc w:val="both"/>
              <w:rPr>
                <w:b/>
              </w:rPr>
            </w:pPr>
            <w:r w:rsidRPr="00ED18D1">
              <w:t>Решения будет принято Банком России по</w:t>
            </w:r>
            <w:r>
              <w:t xml:space="preserve"> итогам</w:t>
            </w:r>
            <w:r w:rsidRPr="00ED18D1">
              <w:t xml:space="preserve"> анализа представленной статистики.</w:t>
            </w:r>
          </w:p>
        </w:tc>
      </w:tr>
      <w:tr w:rsidR="005733A9" w:rsidRPr="00097751" w14:paraId="230665F9" w14:textId="77777777" w:rsidTr="001B4C51">
        <w:trPr>
          <w:trHeight w:val="609"/>
        </w:trPr>
        <w:tc>
          <w:tcPr>
            <w:tcW w:w="846" w:type="dxa"/>
          </w:tcPr>
          <w:p w14:paraId="4E65E0ED" w14:textId="7AC68BBD" w:rsidR="005733A9" w:rsidRPr="001E66A9" w:rsidRDefault="005733A9" w:rsidP="003C4F59">
            <w:pPr>
              <w:spacing w:after="0" w:line="240" w:lineRule="auto"/>
              <w:jc w:val="center"/>
            </w:pPr>
            <w:r w:rsidRPr="001E66A9">
              <w:lastRenderedPageBreak/>
              <w:t>09-34</w:t>
            </w:r>
          </w:p>
        </w:tc>
        <w:tc>
          <w:tcPr>
            <w:tcW w:w="1701" w:type="dxa"/>
          </w:tcPr>
          <w:p w14:paraId="2DEBC128" w14:textId="77777777" w:rsidR="005733A9" w:rsidRPr="001E66A9" w:rsidRDefault="005733A9" w:rsidP="006B68BA">
            <w:pPr>
              <w:jc w:val="both"/>
            </w:pPr>
            <w:r w:rsidRPr="001E66A9">
              <w:t>ПАРТАД</w:t>
            </w:r>
          </w:p>
          <w:p w14:paraId="3572C595" w14:textId="77777777" w:rsidR="005733A9" w:rsidRPr="001E66A9" w:rsidRDefault="005733A9" w:rsidP="001B3BF5">
            <w:pPr>
              <w:spacing w:after="0" w:line="240" w:lineRule="auto"/>
              <w:jc w:val="center"/>
            </w:pPr>
          </w:p>
        </w:tc>
        <w:tc>
          <w:tcPr>
            <w:tcW w:w="6775" w:type="dxa"/>
          </w:tcPr>
          <w:p w14:paraId="485DD9CC" w14:textId="77777777" w:rsidR="005733A9" w:rsidRPr="001E66A9" w:rsidRDefault="005733A9" w:rsidP="000D4897">
            <w:pPr>
              <w:spacing w:after="0" w:line="240" w:lineRule="auto"/>
              <w:jc w:val="both"/>
            </w:pPr>
            <w:proofErr w:type="gramStart"/>
            <w:r w:rsidRPr="001E66A9">
              <w:rPr>
                <w:b/>
              </w:rPr>
              <w:t>Строка 7 Приложения,</w:t>
            </w:r>
            <w:r w:rsidRPr="001E66A9">
              <w:t xml:space="preserve"> </w:t>
            </w:r>
            <w:r w:rsidRPr="001E66A9">
              <w:rPr>
                <w:b/>
              </w:rPr>
              <w:t>Положение Банка России от 27.07.2015 №481-П</w:t>
            </w:r>
            <w:r w:rsidRPr="001E66A9">
              <w:t xml:space="preserve">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</w:t>
            </w:r>
            <w:proofErr w:type="gramEnd"/>
            <w:r w:rsidRPr="001E66A9">
              <w:t xml:space="preserve"> участника рынка ценных бумаг» </w:t>
            </w:r>
          </w:p>
          <w:p w14:paraId="53793EC6" w14:textId="77777777" w:rsidR="005733A9" w:rsidRPr="000D4897" w:rsidRDefault="005733A9" w:rsidP="000D4897">
            <w:pPr>
              <w:spacing w:after="0" w:line="240" w:lineRule="auto"/>
              <w:jc w:val="both"/>
            </w:pPr>
            <w:r w:rsidRPr="000D4897">
              <w:t>ПОКАЗАТЕЛИ ДЕЯТЕЛЬНОСТИ И КВАРТАЛЬНЫЕ ДИАПАЗОНЫ ИХ ЗНАЧЕНИЙ</w:t>
            </w:r>
          </w:p>
          <w:p w14:paraId="0384E1EC" w14:textId="77777777" w:rsidR="005733A9" w:rsidRDefault="005733A9" w:rsidP="000D48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E66A9">
              <w:t>Количество лиц, которым открыты лицевые счета в реестрах владельцев эмиссионных ценных бумаг</w:t>
            </w:r>
            <w:r>
              <w:t xml:space="preserve"> </w:t>
            </w:r>
            <w:r w:rsidRPr="001E66A9">
              <w:t xml:space="preserve">не </w:t>
            </w:r>
            <w:proofErr w:type="gramStart"/>
            <w:r w:rsidRPr="001E66A9">
              <w:t>более/более</w:t>
            </w:r>
            <w:proofErr w:type="gramEnd"/>
            <w:r w:rsidRPr="001E66A9">
              <w:t xml:space="preserve"> 1 000 000 лиц.</w:t>
            </w:r>
          </w:p>
          <w:p w14:paraId="1BDBBAE2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 xml:space="preserve">Данный показатель не позволяет составить объективную оценку состояния и деятельности регистратора для определения положения в отрасли и для </w:t>
            </w:r>
            <w:proofErr w:type="gramStart"/>
            <w:r w:rsidRPr="001E66A9">
              <w:t>риск-ориентированного</w:t>
            </w:r>
            <w:proofErr w:type="gramEnd"/>
            <w:r w:rsidRPr="001E66A9">
              <w:t xml:space="preserve"> надзора. Напротив, может сформировать искаженное представление о положении регистратора в отрасли. </w:t>
            </w:r>
          </w:p>
          <w:p w14:paraId="579D20A7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>Большое количество акционеров (счетов в реестре) в акционерных обществах сформировалось в период приватизации. Основная масса этих акционеров являются «спящими», не проводят никаких операций в реестре. В большей мере это касается «</w:t>
            </w:r>
            <w:proofErr w:type="spellStart"/>
            <w:r w:rsidRPr="001E66A9">
              <w:t>неторгуемых</w:t>
            </w:r>
            <w:proofErr w:type="spellEnd"/>
            <w:r w:rsidRPr="001E66A9">
              <w:t xml:space="preserve">» акционерных обществ, акции которых являются </w:t>
            </w:r>
            <w:proofErr w:type="gramStart"/>
            <w:r w:rsidRPr="001E66A9">
              <w:t>абсолютно неликвидными</w:t>
            </w:r>
            <w:proofErr w:type="gramEnd"/>
            <w:r w:rsidRPr="001E66A9">
              <w:t>, не имеют заметной рыночной стоимости. В особенности это относится к акционерным обществам - правопреемникам чековых инвестиционных фондов и акционерным обществам, созданным в результате реорганизации РАО ЕЭС.</w:t>
            </w:r>
          </w:p>
          <w:p w14:paraId="41FA9B7B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 xml:space="preserve">В таких акционерных обществах основная масса акционеров </w:t>
            </w:r>
            <w:r w:rsidRPr="001E66A9">
              <w:lastRenderedPageBreak/>
              <w:t xml:space="preserve">владеет пакетами акций с совершенно незначительной стоимостью, в реестрах проводится небольшое количество операций. В связи с незначительной стоимостью пакетов акций и их </w:t>
            </w:r>
            <w:proofErr w:type="spellStart"/>
            <w:r w:rsidRPr="001E66A9">
              <w:t>неликвидностью</w:t>
            </w:r>
            <w:proofErr w:type="spellEnd"/>
            <w:r w:rsidRPr="001E66A9">
              <w:t xml:space="preserve"> отсутствуют риски возникновения значимых для акционера убытков в случае утраты актива.</w:t>
            </w:r>
          </w:p>
          <w:p w14:paraId="462B9E57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>В прилагаемой таблице</w:t>
            </w:r>
            <w:r w:rsidRPr="001E66A9">
              <w:rPr>
                <w:b/>
              </w:rPr>
              <w:t xml:space="preserve"> (см. Приложение 3</w:t>
            </w:r>
            <w:r w:rsidRPr="001E66A9">
              <w:t>) приведены сведения о типичном распределении акций среди ТГК (территориальных генерирующих компаний), образованных в результате реорганизации РАО ЕЭС.</w:t>
            </w:r>
          </w:p>
          <w:p w14:paraId="12665596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>Таким образом, наличие большого количества счетов может сочетаться с незначительным количеством операций по ним, минимальными суммами сделок и минимальными рисками возникновения убытков, и наоборот.</w:t>
            </w:r>
          </w:p>
          <w:p w14:paraId="7AEE1722" w14:textId="77777777" w:rsidR="005733A9" w:rsidRPr="001E66A9" w:rsidRDefault="005733A9" w:rsidP="000D4897">
            <w:pPr>
              <w:spacing w:after="0" w:line="240" w:lineRule="auto"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Применение данного показателя влечет негативные воздействия и последствия.</w:t>
            </w:r>
          </w:p>
          <w:p w14:paraId="1AFA63AC" w14:textId="77777777" w:rsidR="005733A9" w:rsidRPr="001E66A9" w:rsidRDefault="005733A9" w:rsidP="000D4897">
            <w:pPr>
              <w:spacing w:after="0" w:line="240" w:lineRule="auto"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 xml:space="preserve">С одной стороны, необоснованное попадание регистратора в категорию регистраторов с повышенными требованиями влечет для него дополнительные расходы: </w:t>
            </w:r>
          </w:p>
          <w:p w14:paraId="12CE7BC1" w14:textId="77777777" w:rsidR="005733A9" w:rsidRPr="001E66A9" w:rsidRDefault="005733A9" w:rsidP="000D4897">
            <w:pPr>
              <w:spacing w:after="0" w:line="240" w:lineRule="auto"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1) обязательное наличие совета директоров. Количество членов совета директоров не может быть менее пяти. Дополнительные расходы на оплату работы совета директоров составят не менее 5000</w:t>
            </w:r>
            <w:r>
              <w:rPr>
                <w:rStyle w:val="m864124147232581627a1"/>
                <w:iCs/>
              </w:rPr>
              <w:t xml:space="preserve"> </w:t>
            </w:r>
            <w:r w:rsidRPr="001E66A9">
              <w:rPr>
                <w:rStyle w:val="m864124147232581627a1"/>
                <w:iCs/>
              </w:rPr>
              <w:t>тыс. рублей в год;</w:t>
            </w:r>
          </w:p>
          <w:p w14:paraId="166E4C6B" w14:textId="77777777" w:rsidR="005733A9" w:rsidRPr="001E66A9" w:rsidRDefault="005733A9" w:rsidP="000D48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E66A9">
              <w:rPr>
                <w:rStyle w:val="m864124147232581627a1"/>
                <w:iCs/>
              </w:rPr>
              <w:t>2) о</w:t>
            </w:r>
            <w:r w:rsidRPr="001E66A9">
              <w:t>рганизация и осуществление внутреннего аудита. Расходы на содержание</w:t>
            </w:r>
            <w:r w:rsidRPr="001E66A9">
              <w:rPr>
                <w:rStyle w:val="m864124147232581627a1"/>
                <w:iCs/>
              </w:rPr>
              <w:t xml:space="preserve"> квалифицированного специалиста в данной области составят не менее 1500</w:t>
            </w:r>
            <w:r>
              <w:rPr>
                <w:rStyle w:val="m864124147232581627a1"/>
                <w:iCs/>
              </w:rPr>
              <w:t xml:space="preserve"> </w:t>
            </w:r>
            <w:r w:rsidRPr="001E66A9">
              <w:rPr>
                <w:rStyle w:val="m864124147232581627a1"/>
                <w:iCs/>
              </w:rPr>
              <w:t>тыс. рублей в год;</w:t>
            </w:r>
          </w:p>
          <w:p w14:paraId="20766C48" w14:textId="77777777" w:rsidR="005733A9" w:rsidRPr="001E66A9" w:rsidRDefault="005733A9" w:rsidP="000D4897">
            <w:pPr>
              <w:spacing w:after="0" w:line="240" w:lineRule="auto"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3) дополнительные требования к используемым технологиям и оборудованию, безусловно, повлекут дополнительные расходы, не менее</w:t>
            </w:r>
            <w:proofErr w:type="gramStart"/>
            <w:r w:rsidRPr="001E66A9">
              <w:rPr>
                <w:rStyle w:val="m864124147232581627a1"/>
                <w:iCs/>
              </w:rPr>
              <w:t>,</w:t>
            </w:r>
            <w:proofErr w:type="gramEnd"/>
            <w:r w:rsidRPr="001E66A9">
              <w:rPr>
                <w:rStyle w:val="m864124147232581627a1"/>
                <w:iCs/>
              </w:rPr>
              <w:t xml:space="preserve"> чем 3000</w:t>
            </w:r>
            <w:r>
              <w:rPr>
                <w:rStyle w:val="m864124147232581627a1"/>
                <w:iCs/>
              </w:rPr>
              <w:t xml:space="preserve"> </w:t>
            </w:r>
            <w:r w:rsidRPr="001E66A9">
              <w:rPr>
                <w:rStyle w:val="m864124147232581627a1"/>
                <w:iCs/>
              </w:rPr>
              <w:t>тыс. рублей в год;</w:t>
            </w:r>
          </w:p>
          <w:p w14:paraId="7A24BD9A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rPr>
                <w:rStyle w:val="m864124147232581627a1"/>
                <w:iCs/>
              </w:rPr>
              <w:t xml:space="preserve">4) повышенное требование </w:t>
            </w:r>
            <w:r w:rsidRPr="001E66A9">
              <w:t xml:space="preserve">о региональном присутствии влечет увеличение расходов на создание трансфер-агентской сети и/или новых филиалов (больше на 20 субъектов). </w:t>
            </w:r>
          </w:p>
          <w:p w14:paraId="6E8AA6AB" w14:textId="77777777" w:rsidR="005733A9" w:rsidRPr="001E66A9" w:rsidRDefault="005733A9" w:rsidP="000D4897">
            <w:pPr>
              <w:spacing w:after="0" w:line="240" w:lineRule="auto"/>
              <w:jc w:val="both"/>
            </w:pPr>
          </w:p>
          <w:p w14:paraId="5828D359" w14:textId="77777777" w:rsidR="005733A9" w:rsidRPr="001E66A9" w:rsidRDefault="005733A9" w:rsidP="000D4897">
            <w:pPr>
              <w:spacing w:after="0" w:line="240" w:lineRule="auto"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 xml:space="preserve">С другой стороны, непопадание регистратора, который ведет реестры крупных (по стоимости активов) компаний с торгуемыми акциями, в категорию регистраторов с повышенными требованиями влечет повышенные риски и </w:t>
            </w:r>
            <w:r w:rsidRPr="001E66A9">
              <w:rPr>
                <w:rStyle w:val="m864124147232581627a1"/>
                <w:iCs/>
              </w:rPr>
              <w:lastRenderedPageBreak/>
              <w:t xml:space="preserve">неоправданные конкурентные преимущества, связанные с отсутствием необходимости нести указанные дополнительные расходы. </w:t>
            </w:r>
          </w:p>
          <w:p w14:paraId="3140E675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>Наиболее объективными представляются показатели деятельности регистратора, связанные с операциями по переходу прав на ценные бумаги по распоряжениям зарегистрированных лиц, либо тем или иным образом связанные с показателями организованных торгов ценными бумагами.</w:t>
            </w:r>
          </w:p>
          <w:p w14:paraId="21D5EA47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0D4897">
              <w:rPr>
                <w:b/>
              </w:rPr>
              <w:t>Предлагаются</w:t>
            </w:r>
            <w:r w:rsidRPr="001E66A9">
              <w:t xml:space="preserve"> следующие альтернативы:</w:t>
            </w:r>
          </w:p>
          <w:p w14:paraId="26895C1E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>- количество сделок (операций) по переходу прав на ценные бумаги по распоряжениям зарегистрированных лиц;</w:t>
            </w:r>
          </w:p>
          <w:p w14:paraId="7E9FB8D2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>- суммарная капитализация «торгуемых» клиентов;</w:t>
            </w:r>
          </w:p>
          <w:p w14:paraId="50824CE5" w14:textId="77777777" w:rsidR="005733A9" w:rsidRPr="001E66A9" w:rsidRDefault="005733A9" w:rsidP="000D4897">
            <w:pPr>
              <w:spacing w:after="0" w:line="240" w:lineRule="auto"/>
              <w:jc w:val="both"/>
            </w:pPr>
            <w:r w:rsidRPr="001E66A9">
              <w:t xml:space="preserve">- при подсчете количества лицевых счетов исключать акционерные общества, бывшие </w:t>
            </w:r>
            <w:proofErr w:type="spellStart"/>
            <w:r w:rsidRPr="001E66A9">
              <w:t>ЧИФы</w:t>
            </w:r>
            <w:proofErr w:type="spellEnd"/>
            <w:r w:rsidRPr="001E66A9">
              <w:t xml:space="preserve">, и </w:t>
            </w:r>
            <w:proofErr w:type="spellStart"/>
            <w:r w:rsidRPr="001E66A9">
              <w:t>неторгуемые</w:t>
            </w:r>
            <w:proofErr w:type="spellEnd"/>
            <w:r w:rsidRPr="001E66A9">
              <w:t xml:space="preserve"> акционерные общества, количество операций по переходу прав на ценные бумаги по распоряжениям зарегистрированных </w:t>
            </w:r>
            <w:proofErr w:type="gramStart"/>
            <w:r w:rsidRPr="001E66A9">
              <w:t>лиц</w:t>
            </w:r>
            <w:proofErr w:type="gramEnd"/>
            <w:r w:rsidRPr="001E66A9">
              <w:t xml:space="preserve"> в которых не превышает 100 в год.</w:t>
            </w:r>
          </w:p>
          <w:p w14:paraId="0F12A4AC" w14:textId="31CCC9BB" w:rsidR="005733A9" w:rsidRPr="005733A9" w:rsidRDefault="005733A9" w:rsidP="000D48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E66A9">
              <w:t xml:space="preserve">- при подсчете общего количества лицевых счетов количество лицевых счетов в акционерных обществах, бывших </w:t>
            </w:r>
            <w:proofErr w:type="spellStart"/>
            <w:r w:rsidRPr="001E66A9">
              <w:t>ЧИФах</w:t>
            </w:r>
            <w:proofErr w:type="spellEnd"/>
            <w:r w:rsidRPr="001E66A9">
              <w:t xml:space="preserve">, и </w:t>
            </w:r>
            <w:proofErr w:type="spellStart"/>
            <w:r w:rsidRPr="001E66A9">
              <w:t>неторгуемых</w:t>
            </w:r>
            <w:proofErr w:type="spellEnd"/>
            <w:r w:rsidRPr="001E66A9">
              <w:t xml:space="preserve"> акционерных обществах учитывать с понижающим коэффициентом 0,1.</w:t>
            </w:r>
          </w:p>
        </w:tc>
        <w:tc>
          <w:tcPr>
            <w:tcW w:w="5387" w:type="dxa"/>
          </w:tcPr>
          <w:p w14:paraId="6955C906" w14:textId="77777777" w:rsidR="000D4897" w:rsidRPr="00ED18D1" w:rsidRDefault="000D4897" w:rsidP="000D4897">
            <w:pPr>
              <w:spacing w:after="0" w:line="240" w:lineRule="auto"/>
              <w:jc w:val="both"/>
              <w:rPr>
                <w:b/>
              </w:rPr>
            </w:pPr>
            <w:r w:rsidRPr="00ED18D1">
              <w:rPr>
                <w:b/>
              </w:rPr>
              <w:lastRenderedPageBreak/>
              <w:t>Перенести в процесс текущей работы над совершенствованием нормативных актов Банка России</w:t>
            </w:r>
            <w:r w:rsidRPr="00ED18D1">
              <w:t xml:space="preserve">. </w:t>
            </w:r>
            <w:r w:rsidRPr="00ED18D1">
              <w:rPr>
                <w:b/>
              </w:rPr>
              <w:t xml:space="preserve"> </w:t>
            </w:r>
          </w:p>
          <w:p w14:paraId="1B0DDE46" w14:textId="77777777" w:rsidR="000D4897" w:rsidRPr="00ED18D1" w:rsidRDefault="000D4897" w:rsidP="000D4897">
            <w:pPr>
              <w:spacing w:after="0" w:line="240" w:lineRule="auto"/>
              <w:jc w:val="both"/>
            </w:pPr>
            <w:r w:rsidRPr="00ED18D1">
              <w:t>В ходе обсуждения не нашли универсального, устраивающего всех критерия категорирования регистраторов по размеру.</w:t>
            </w:r>
          </w:p>
          <w:p w14:paraId="59440F28" w14:textId="7E14D6E7" w:rsidR="005733A9" w:rsidRPr="00ED18D1" w:rsidRDefault="000D4897" w:rsidP="000D4897">
            <w:pPr>
              <w:spacing w:after="0" w:line="240" w:lineRule="auto"/>
              <w:jc w:val="both"/>
              <w:rPr>
                <w:b/>
              </w:rPr>
            </w:pPr>
            <w:r w:rsidRPr="00ED18D1">
              <w:t>НФА и ПАРТАД предложено дополнительно обсудить вопрос с регистраторами, по итогам выработки подхода представить Банку России согласованные предложения.</w:t>
            </w:r>
          </w:p>
        </w:tc>
      </w:tr>
      <w:tr w:rsidR="00B94C70" w:rsidRPr="00097751" w14:paraId="7B25D517" w14:textId="77777777" w:rsidTr="001B4C51">
        <w:trPr>
          <w:trHeight w:val="609"/>
        </w:trPr>
        <w:tc>
          <w:tcPr>
            <w:tcW w:w="846" w:type="dxa"/>
          </w:tcPr>
          <w:p w14:paraId="5DC793CB" w14:textId="00506884" w:rsidR="00B94C70" w:rsidRPr="00097751" w:rsidRDefault="00B94C70" w:rsidP="003C4F59">
            <w:pPr>
              <w:spacing w:after="0" w:line="240" w:lineRule="auto"/>
              <w:jc w:val="center"/>
            </w:pPr>
            <w:r w:rsidRPr="001E66A9">
              <w:lastRenderedPageBreak/>
              <w:t>09-35</w:t>
            </w:r>
          </w:p>
        </w:tc>
        <w:tc>
          <w:tcPr>
            <w:tcW w:w="1701" w:type="dxa"/>
          </w:tcPr>
          <w:p w14:paraId="4C7DB666" w14:textId="27C62E4D" w:rsidR="00B94C70" w:rsidRPr="00097751" w:rsidRDefault="00B94C70" w:rsidP="001B3BF5">
            <w:pPr>
              <w:spacing w:after="0" w:line="240" w:lineRule="auto"/>
              <w:jc w:val="center"/>
            </w:pPr>
            <w:r w:rsidRPr="001E66A9">
              <w:t>ПАРТАД</w:t>
            </w:r>
          </w:p>
        </w:tc>
        <w:tc>
          <w:tcPr>
            <w:tcW w:w="6775" w:type="dxa"/>
          </w:tcPr>
          <w:p w14:paraId="54DA1431" w14:textId="77777777" w:rsidR="00B94C70" w:rsidRDefault="00B94C70" w:rsidP="00711C27">
            <w:pPr>
              <w:spacing w:after="0" w:line="240" w:lineRule="auto"/>
              <w:jc w:val="both"/>
            </w:pPr>
            <w:proofErr w:type="gramStart"/>
            <w:r w:rsidRPr="001E66A9">
              <w:rPr>
                <w:b/>
              </w:rPr>
              <w:t>Пункт 2.1.12</w:t>
            </w:r>
            <w:r w:rsidRPr="001E66A9">
              <w:t xml:space="preserve"> </w:t>
            </w:r>
            <w:r w:rsidRPr="001E66A9">
              <w:rPr>
                <w:b/>
              </w:rPr>
              <w:t>Положения Банка России от 27.07.2015 №481-П</w:t>
            </w:r>
            <w:r w:rsidRPr="001E66A9">
              <w:t xml:space="preserve">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</w:t>
            </w:r>
            <w:proofErr w:type="gramEnd"/>
            <w:r w:rsidRPr="001E66A9">
              <w:t xml:space="preserve"> рынка ценных бумаг»</w:t>
            </w:r>
          </w:p>
          <w:p w14:paraId="70DAFAE4" w14:textId="77777777" w:rsidR="00065B07" w:rsidRDefault="00995112" w:rsidP="00711C27">
            <w:pPr>
              <w:spacing w:after="0" w:line="240" w:lineRule="auto"/>
              <w:jc w:val="both"/>
            </w:pPr>
            <w:r w:rsidRPr="00995112">
              <w:rPr>
                <w:b/>
              </w:rPr>
              <w:t>Требование увеличивает нагрузку на бизнес</w:t>
            </w:r>
            <w:r>
              <w:t xml:space="preserve"> - о</w:t>
            </w:r>
            <w:r w:rsidRPr="001E66A9">
              <w:t xml:space="preserve">рганизация и осуществление внутреннего аудита лицензиатами, определившими хотя бы по одному из показателей деятельности в качестве годового диапазона квартальный </w:t>
            </w:r>
            <w:r w:rsidRPr="001E66A9">
              <w:lastRenderedPageBreak/>
              <w:t>диапазон, указанный в графе 5 приложения к Положению.</w:t>
            </w:r>
          </w:p>
          <w:p w14:paraId="4AB0AA63" w14:textId="77777777" w:rsidR="00995112" w:rsidRPr="001E66A9" w:rsidRDefault="00995112" w:rsidP="00711C27">
            <w:pPr>
              <w:spacing w:after="0" w:line="240" w:lineRule="auto"/>
              <w:jc w:val="both"/>
            </w:pPr>
            <w:r w:rsidRPr="001E66A9">
              <w:t>Учитывая масштабы деятельности регистратора, наличие контролера, специального должностного лица по ПОД/ФТ, ревизионной комиссии и внешнего аудитора, введение дополнительного контролирующего лица для регистратора в виде внутреннего аудитора представляется чрезмерным.</w:t>
            </w:r>
          </w:p>
          <w:p w14:paraId="76856CEE" w14:textId="77777777" w:rsidR="00995112" w:rsidRPr="001E66A9" w:rsidRDefault="00995112" w:rsidP="00711C27">
            <w:pPr>
              <w:spacing w:after="0" w:line="240" w:lineRule="auto"/>
              <w:jc w:val="both"/>
            </w:pPr>
            <w:r w:rsidRPr="001E66A9">
              <w:t>Наряду с повышением требований к отчетности регистратора, введение новых контрольных функций приводит к тому, что количество специалистов регистратора, связанных с контрольными функциями, становится критическим в сравнении с количеством специалистов, обеспечивающих выполнение основных функций регистратора.</w:t>
            </w:r>
          </w:p>
          <w:p w14:paraId="77B0E5E9" w14:textId="77777777" w:rsidR="00995112" w:rsidRPr="001E66A9" w:rsidRDefault="00995112" w:rsidP="00711C27">
            <w:pPr>
              <w:spacing w:after="0" w:line="240" w:lineRule="auto"/>
              <w:jc w:val="both"/>
              <w:rPr>
                <w:rStyle w:val="m864124147232581627a1"/>
                <w:iCs/>
              </w:rPr>
            </w:pPr>
            <w:r w:rsidRPr="001E66A9">
              <w:rPr>
                <w:rStyle w:val="m864124147232581627a1"/>
                <w:iCs/>
              </w:rPr>
              <w:t>О</w:t>
            </w:r>
            <w:r w:rsidRPr="001E66A9">
              <w:t xml:space="preserve">рганизация и осуществление внутреннего аудита </w:t>
            </w:r>
            <w:r w:rsidRPr="001E66A9">
              <w:rPr>
                <w:rStyle w:val="m864124147232581627a1"/>
                <w:iCs/>
              </w:rPr>
              <w:t>влечет дополнительные расходы</w:t>
            </w:r>
            <w:r w:rsidRPr="001E66A9">
              <w:t xml:space="preserve"> на содержание</w:t>
            </w:r>
            <w:r w:rsidRPr="001E66A9">
              <w:rPr>
                <w:rStyle w:val="m864124147232581627a1"/>
                <w:iCs/>
              </w:rPr>
              <w:t xml:space="preserve"> квалифицированного специалиста в данной области в размере, не менее 1500 тыс. рублей в год.</w:t>
            </w:r>
          </w:p>
          <w:p w14:paraId="58711ACC" w14:textId="77777777" w:rsidR="00995112" w:rsidRPr="001E66A9" w:rsidRDefault="00995112" w:rsidP="00711C27">
            <w:pPr>
              <w:spacing w:after="0" w:line="240" w:lineRule="auto"/>
              <w:jc w:val="both"/>
            </w:pPr>
            <w:r w:rsidRPr="001E66A9">
              <w:t xml:space="preserve">Поскольку внутренний аудит предполагает, в том числе, проверку внутреннего контроля, то для организации и осуществления внутреннего аудита, наряду с самим внутренним аудитором, вероятно, потребуется введение еще одной или нескольких штатных единиц </w:t>
            </w:r>
            <w:r w:rsidRPr="001E66A9">
              <w:rPr>
                <w:rStyle w:val="m864124147232581627a1"/>
                <w:iCs/>
              </w:rPr>
              <w:t>квалифицированных специалистов</w:t>
            </w:r>
            <w:r w:rsidRPr="001E66A9">
              <w:t>.</w:t>
            </w:r>
          </w:p>
          <w:p w14:paraId="061DE765" w14:textId="77777777" w:rsidR="00995112" w:rsidRPr="001E66A9" w:rsidRDefault="00995112" w:rsidP="00711C27">
            <w:pPr>
              <w:spacing w:after="0" w:line="240" w:lineRule="auto"/>
              <w:jc w:val="both"/>
            </w:pPr>
            <w:r w:rsidRPr="001E66A9">
              <w:t>В настоящее время Федеральный закон «Об акционерных обществах» и Федеральный закон «Об обществах с ограниченной ответственностью» содержат диспозитивные нормы по вопросу формирования ревизионной комиссии.</w:t>
            </w:r>
          </w:p>
          <w:p w14:paraId="4442B4A7" w14:textId="77777777" w:rsidR="00995112" w:rsidRPr="001E66A9" w:rsidRDefault="00995112" w:rsidP="00711C27">
            <w:pPr>
              <w:spacing w:after="0" w:line="240" w:lineRule="auto"/>
              <w:jc w:val="both"/>
              <w:rPr>
                <w:i/>
              </w:rPr>
            </w:pPr>
            <w:r w:rsidRPr="001E66A9">
              <w:rPr>
                <w:b/>
              </w:rPr>
              <w:t>В этой связи предлагается рассмотреть возможность исключения данного требования при наличии у регистратора ревизионной комиссии (ревизора)</w:t>
            </w:r>
            <w:r w:rsidRPr="001E66A9">
              <w:t>.</w:t>
            </w:r>
          </w:p>
          <w:p w14:paraId="0DCB573A" w14:textId="4E1955E4" w:rsidR="00995112" w:rsidRPr="00097751" w:rsidRDefault="00995112" w:rsidP="00711C27">
            <w:pPr>
              <w:spacing w:after="0" w:line="240" w:lineRule="auto"/>
              <w:jc w:val="both"/>
              <w:rPr>
                <w:b/>
              </w:rPr>
            </w:pPr>
            <w:r w:rsidRPr="001E66A9">
              <w:t>Также полагаем, что принятие решения об осуществлении функции внутреннего аудита должно приниматься органами управления регистратора самостоятельно и осознанно, в соответствии с потребностями бизнеса. Только в этом случае можно будет исключить формальный подход к осуществлению данной функции.</w:t>
            </w:r>
          </w:p>
        </w:tc>
        <w:tc>
          <w:tcPr>
            <w:tcW w:w="5387" w:type="dxa"/>
          </w:tcPr>
          <w:p w14:paraId="53302D80" w14:textId="77777777" w:rsidR="00065B07" w:rsidRPr="00ED18D1" w:rsidRDefault="00065B07" w:rsidP="00065B07">
            <w:pPr>
              <w:spacing w:after="0" w:line="240" w:lineRule="auto"/>
              <w:jc w:val="both"/>
              <w:rPr>
                <w:b/>
              </w:rPr>
            </w:pPr>
            <w:r w:rsidRPr="00ED18D1">
              <w:rPr>
                <w:b/>
              </w:rPr>
              <w:lastRenderedPageBreak/>
              <w:t>Поддержано.</w:t>
            </w:r>
          </w:p>
          <w:p w14:paraId="4CDDFC53" w14:textId="535AE5C7" w:rsidR="00B94C70" w:rsidRPr="00097751" w:rsidRDefault="00065B07" w:rsidP="00B94C70">
            <w:pPr>
              <w:spacing w:after="0" w:line="240" w:lineRule="auto"/>
              <w:jc w:val="both"/>
              <w:rPr>
                <w:b/>
              </w:rPr>
            </w:pPr>
            <w:r w:rsidRPr="00ED18D1">
              <w:t>Предлагается учесть данное предложение при разработке нормативного акт Банка России, регулирующего вопросы внутреннего контроля профессионального участника рынка ценных бумаг.</w:t>
            </w:r>
          </w:p>
        </w:tc>
      </w:tr>
      <w:tr w:rsidR="00B94C70" w:rsidRPr="00097751" w14:paraId="54EBA1CC" w14:textId="77777777" w:rsidTr="00995112">
        <w:trPr>
          <w:trHeight w:val="346"/>
        </w:trPr>
        <w:tc>
          <w:tcPr>
            <w:tcW w:w="846" w:type="dxa"/>
          </w:tcPr>
          <w:p w14:paraId="0B045836" w14:textId="6C0BA153" w:rsidR="00B94C70" w:rsidRPr="00097751" w:rsidRDefault="00B94C70" w:rsidP="003C4F59">
            <w:pPr>
              <w:spacing w:after="0" w:line="240" w:lineRule="auto"/>
              <w:jc w:val="center"/>
            </w:pPr>
            <w:r w:rsidRPr="001E66A9">
              <w:lastRenderedPageBreak/>
              <w:t>09-42</w:t>
            </w:r>
          </w:p>
        </w:tc>
        <w:tc>
          <w:tcPr>
            <w:tcW w:w="1701" w:type="dxa"/>
          </w:tcPr>
          <w:p w14:paraId="1538EEEE" w14:textId="77777777" w:rsidR="00B94C70" w:rsidRPr="001E66A9" w:rsidRDefault="00B94C70" w:rsidP="006B68BA">
            <w:pPr>
              <w:jc w:val="both"/>
            </w:pPr>
            <w:r w:rsidRPr="001E66A9">
              <w:t>ПАРТАД</w:t>
            </w:r>
          </w:p>
          <w:p w14:paraId="40B8D168" w14:textId="77777777" w:rsidR="00B94C70" w:rsidRPr="00097751" w:rsidRDefault="00B94C70" w:rsidP="001B3BF5">
            <w:pPr>
              <w:spacing w:after="0" w:line="240" w:lineRule="auto"/>
              <w:jc w:val="center"/>
            </w:pPr>
          </w:p>
        </w:tc>
        <w:tc>
          <w:tcPr>
            <w:tcW w:w="6775" w:type="dxa"/>
          </w:tcPr>
          <w:p w14:paraId="4432EB04" w14:textId="39F82703" w:rsidR="00B94C70" w:rsidRDefault="00B94C70" w:rsidP="00B94C70">
            <w:pPr>
              <w:spacing w:after="0" w:line="240" w:lineRule="auto"/>
              <w:jc w:val="both"/>
            </w:pPr>
            <w:r w:rsidRPr="001E66A9">
              <w:rPr>
                <w:b/>
              </w:rPr>
              <w:lastRenderedPageBreak/>
              <w:t>Пункт 2.9 Приказа ФСФР России от 30.07.2013 №13-65/</w:t>
            </w:r>
            <w:proofErr w:type="spellStart"/>
            <w:r w:rsidRPr="001E66A9">
              <w:rPr>
                <w:b/>
              </w:rPr>
              <w:t>пз</w:t>
            </w:r>
            <w:proofErr w:type="spellEnd"/>
            <w:r w:rsidRPr="001E66A9">
              <w:rPr>
                <w:b/>
              </w:rPr>
              <w:t>-н</w:t>
            </w:r>
            <w:r w:rsidRPr="001E66A9">
              <w:t xml:space="preserve"> </w:t>
            </w:r>
            <w:r w:rsidRPr="001E66A9">
              <w:lastRenderedPageBreak/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58B39ABD" w14:textId="7D442C95" w:rsidR="00B94C70" w:rsidRPr="001E66A9" w:rsidRDefault="00B94C70" w:rsidP="00B94C70">
            <w:pPr>
              <w:spacing w:after="0" w:line="240" w:lineRule="auto"/>
              <w:jc w:val="both"/>
            </w:pPr>
            <w:r w:rsidRPr="00B94C70">
              <w:rPr>
                <w:b/>
              </w:rPr>
              <w:t>Избыточное требование</w:t>
            </w:r>
            <w:r w:rsidRPr="001E66A9">
              <w:t xml:space="preserve"> - открытие в любом случае лицевого счета на основании заявления.</w:t>
            </w:r>
          </w:p>
          <w:p w14:paraId="10CBF8D1" w14:textId="77777777" w:rsidR="00B94C70" w:rsidRPr="001E66A9" w:rsidRDefault="00B94C70" w:rsidP="00B94C70">
            <w:pPr>
              <w:spacing w:after="0" w:line="240" w:lineRule="auto"/>
              <w:jc w:val="both"/>
            </w:pPr>
            <w:r w:rsidRPr="001E66A9">
              <w:t>В Порядке определена обязанность предоставления заявления при открытии лицевого счета.</w:t>
            </w:r>
          </w:p>
          <w:p w14:paraId="7C15220B" w14:textId="77777777" w:rsidR="00B94C70" w:rsidRPr="001E66A9" w:rsidRDefault="00B94C70" w:rsidP="00B94C70">
            <w:pPr>
              <w:spacing w:after="0" w:line="240" w:lineRule="auto"/>
              <w:jc w:val="both"/>
            </w:pPr>
            <w:r w:rsidRPr="001E66A9">
              <w:t>Требование об обязательности предоставления заявления является избыточным. Об этом можно судить и по практике деятельности регистраторов, когда в целях соответствия деятельности требуемым нормам, регистраторы используют единый документ «анкета-заявление».</w:t>
            </w:r>
          </w:p>
          <w:p w14:paraId="0D4648B1" w14:textId="4FE58549" w:rsidR="00B94C70" w:rsidRPr="00097751" w:rsidRDefault="000D4897" w:rsidP="00B94C70">
            <w:pPr>
              <w:spacing w:after="0" w:line="240" w:lineRule="auto"/>
              <w:jc w:val="both"/>
              <w:rPr>
                <w:b/>
              </w:rPr>
            </w:pPr>
            <w:r w:rsidRPr="000D4897">
              <w:rPr>
                <w:b/>
              </w:rPr>
              <w:t>Предлагаем</w:t>
            </w:r>
            <w:r w:rsidRPr="001E66A9">
              <w:t xml:space="preserve"> </w:t>
            </w:r>
            <w:r w:rsidR="00B94C70" w:rsidRPr="001E66A9">
              <w:t>отразить в нормативном акте, что «если анкета содержит в себе, в том числе сведения, которые должны быть указаны в заявлении (волеизъявление лица об открытии лицевого счёта/изменении информации лицевого счёта), то предоставление заявления не требуется». То есть в этом случае для открытия лицевого счёта достаточно такой анкеты и документов, определённых Правилами ведения реестра.</w:t>
            </w:r>
          </w:p>
        </w:tc>
        <w:tc>
          <w:tcPr>
            <w:tcW w:w="5387" w:type="dxa"/>
          </w:tcPr>
          <w:p w14:paraId="612DDC15" w14:textId="77777777" w:rsidR="00065B07" w:rsidRPr="00ED18D1" w:rsidRDefault="00065B07" w:rsidP="00065B07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D18D1">
              <w:rPr>
                <w:b/>
              </w:rPr>
              <w:lastRenderedPageBreak/>
              <w:t>Поддержано.</w:t>
            </w:r>
          </w:p>
          <w:p w14:paraId="5C5F73D5" w14:textId="3760F4D6" w:rsidR="00B94C70" w:rsidRPr="00097751" w:rsidRDefault="00065B07" w:rsidP="00065B07">
            <w:pPr>
              <w:spacing w:after="0" w:line="240" w:lineRule="auto"/>
              <w:jc w:val="both"/>
              <w:rPr>
                <w:b/>
              </w:rPr>
            </w:pPr>
            <w:r w:rsidRPr="00ED18D1">
              <w:lastRenderedPageBreak/>
              <w:t>Предложение будет учтено в рамках работы над проектом нормативного акта Банка России,</w:t>
            </w:r>
            <w:r w:rsidRPr="00ED18D1">
              <w:rPr>
                <w:b/>
              </w:rPr>
              <w:t xml:space="preserve"> </w:t>
            </w:r>
            <w:r w:rsidRPr="00ED18D1">
              <w:t>устанавливающего т</w:t>
            </w:r>
            <w:r w:rsidRPr="00ED18D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B94C70" w:rsidRPr="00097751" w14:paraId="243ED830" w14:textId="77777777" w:rsidTr="001B4C51">
        <w:trPr>
          <w:trHeight w:val="609"/>
        </w:trPr>
        <w:tc>
          <w:tcPr>
            <w:tcW w:w="846" w:type="dxa"/>
          </w:tcPr>
          <w:p w14:paraId="2A7F4411" w14:textId="12AF70AD" w:rsidR="00B94C70" w:rsidRPr="00097751" w:rsidRDefault="00B94C70" w:rsidP="003C4F59">
            <w:pPr>
              <w:spacing w:after="0" w:line="240" w:lineRule="auto"/>
              <w:jc w:val="center"/>
            </w:pPr>
            <w:r w:rsidRPr="001E66A9">
              <w:lastRenderedPageBreak/>
              <w:t>09-51</w:t>
            </w:r>
          </w:p>
        </w:tc>
        <w:tc>
          <w:tcPr>
            <w:tcW w:w="1701" w:type="dxa"/>
          </w:tcPr>
          <w:p w14:paraId="6F826A52" w14:textId="77777777" w:rsidR="00B94C70" w:rsidRPr="001E66A9" w:rsidRDefault="00B94C70" w:rsidP="006B68BA">
            <w:pPr>
              <w:jc w:val="both"/>
            </w:pPr>
            <w:r w:rsidRPr="001E66A9">
              <w:t>ПАРТАД</w:t>
            </w:r>
          </w:p>
          <w:p w14:paraId="6F62FA78" w14:textId="77777777" w:rsidR="00B94C70" w:rsidRPr="00097751" w:rsidRDefault="00B94C70" w:rsidP="001B3BF5">
            <w:pPr>
              <w:spacing w:after="0" w:line="240" w:lineRule="auto"/>
              <w:jc w:val="center"/>
            </w:pPr>
          </w:p>
        </w:tc>
        <w:tc>
          <w:tcPr>
            <w:tcW w:w="6775" w:type="dxa"/>
          </w:tcPr>
          <w:p w14:paraId="374AF549" w14:textId="77777777" w:rsidR="00B94C70" w:rsidRDefault="00B94C70" w:rsidP="00847FF4">
            <w:pPr>
              <w:spacing w:after="0" w:line="240" w:lineRule="auto"/>
              <w:jc w:val="both"/>
            </w:pPr>
            <w:r w:rsidRPr="001E66A9">
              <w:rPr>
                <w:b/>
              </w:rPr>
              <w:t>Пункт 3.47 Приказ ФСФР России от 30.07.2013 №13-65/</w:t>
            </w:r>
            <w:proofErr w:type="spellStart"/>
            <w:r w:rsidRPr="001E66A9">
              <w:rPr>
                <w:b/>
              </w:rPr>
              <w:t>пз</w:t>
            </w:r>
            <w:proofErr w:type="spellEnd"/>
            <w:r w:rsidRPr="001E66A9">
              <w:rPr>
                <w:b/>
              </w:rPr>
              <w:t>-н</w:t>
            </w:r>
            <w:r w:rsidRPr="001E66A9">
              <w:t xml:space="preserve"> 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75C85460" w14:textId="3713A7B8" w:rsidR="00847FF4" w:rsidRPr="001E66A9" w:rsidRDefault="000D4897" w:rsidP="00847FF4">
            <w:pPr>
              <w:spacing w:after="0" w:line="240" w:lineRule="auto"/>
              <w:jc w:val="both"/>
            </w:pPr>
            <w:proofErr w:type="gramStart"/>
            <w:r w:rsidRPr="000D4897">
              <w:rPr>
                <w:b/>
              </w:rPr>
              <w:t>Предлагаем</w:t>
            </w:r>
            <w:r w:rsidRPr="001E66A9">
              <w:t xml:space="preserve"> </w:t>
            </w:r>
            <w:r w:rsidR="00847FF4" w:rsidRPr="001E66A9">
              <w:t xml:space="preserve">уточнить требования Порядка в отношении возможности перевода реестра в режим хранения на основании самостоятельно полученной регистратором выписки из ЕГРЮЛ </w:t>
            </w:r>
            <w:r w:rsidR="00847FF4" w:rsidRPr="001E66A9">
              <w:rPr>
                <w:bCs/>
              </w:rPr>
              <w:t>до получения</w:t>
            </w:r>
            <w:r w:rsidR="00847FF4" w:rsidRPr="001E66A9">
              <w:t xml:space="preserve"> в соответствии с п.3.47 Порядка </w:t>
            </w:r>
            <w:r w:rsidR="00847FF4" w:rsidRPr="001E66A9">
              <w:rPr>
                <w:bCs/>
              </w:rPr>
              <w:t>решения о преобразовании эмитента</w:t>
            </w:r>
            <w:r w:rsidR="00847FF4" w:rsidRPr="001E66A9">
              <w:t>, поскольку, такие решения могут предоставляться не оперативно, а договор на ведение реестра должен прекратить свое действие с даты внесения записи в ЕГРЮЛ об исключении реорганизованного эмитента из реестра</w:t>
            </w:r>
            <w:proofErr w:type="gramEnd"/>
            <w:r w:rsidR="00847FF4" w:rsidRPr="001E66A9">
              <w:t xml:space="preserve"> (что влечёт перевод реестра такого эмитента в режим хранения).</w:t>
            </w:r>
          </w:p>
          <w:p w14:paraId="432FB392" w14:textId="2159E2BC" w:rsidR="00847FF4" w:rsidRPr="00097751" w:rsidRDefault="00847FF4" w:rsidP="00847FF4">
            <w:pPr>
              <w:spacing w:after="0" w:line="240" w:lineRule="auto"/>
              <w:jc w:val="both"/>
              <w:rPr>
                <w:b/>
              </w:rPr>
            </w:pPr>
            <w:r w:rsidRPr="001E66A9">
              <w:t xml:space="preserve">Также вопрос вызывает тот факт, что в соответствии с п. 3.47 </w:t>
            </w:r>
            <w:r w:rsidRPr="001E66A9">
              <w:lastRenderedPageBreak/>
              <w:t>Порядка, после предоставления правопреемником решения о преобразовании совершение операций может происходить в реестре, фактически уже находящемся на хранении.</w:t>
            </w:r>
          </w:p>
        </w:tc>
        <w:tc>
          <w:tcPr>
            <w:tcW w:w="5387" w:type="dxa"/>
          </w:tcPr>
          <w:p w14:paraId="42E34EC0" w14:textId="77777777" w:rsidR="00065B07" w:rsidRPr="00ED18D1" w:rsidRDefault="00065B07" w:rsidP="00065B07">
            <w:pPr>
              <w:spacing w:after="0" w:line="240" w:lineRule="auto"/>
              <w:jc w:val="both"/>
              <w:rPr>
                <w:b/>
              </w:rPr>
            </w:pPr>
            <w:r w:rsidRPr="00ED18D1">
              <w:rPr>
                <w:b/>
              </w:rPr>
              <w:lastRenderedPageBreak/>
              <w:t>Поддержано.</w:t>
            </w:r>
          </w:p>
          <w:p w14:paraId="25510207" w14:textId="77777777" w:rsidR="00065B07" w:rsidRPr="00ED18D1" w:rsidRDefault="00065B07" w:rsidP="00065B0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ED18D1">
              <w:t>Предложение будет учтено в рамках работы над проектом нормативного акта Банка России,</w:t>
            </w:r>
            <w:r w:rsidRPr="00ED18D1">
              <w:rPr>
                <w:b/>
              </w:rPr>
              <w:t xml:space="preserve"> </w:t>
            </w:r>
            <w:r w:rsidRPr="00ED18D1">
              <w:t>устанавливающего т</w:t>
            </w:r>
            <w:r w:rsidRPr="00ED18D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  <w:p w14:paraId="1808CA1F" w14:textId="2FC79E0F" w:rsidR="00B94C70" w:rsidRPr="00097751" w:rsidRDefault="00065B07" w:rsidP="00065B07">
            <w:pPr>
              <w:spacing w:after="0" w:line="240" w:lineRule="auto"/>
              <w:jc w:val="both"/>
              <w:rPr>
                <w:b/>
              </w:rPr>
            </w:pPr>
            <w:r w:rsidRPr="00ED18D1">
              <w:rPr>
                <w:rFonts w:eastAsia="Calibri"/>
                <w:bCs/>
                <w:lang w:eastAsia="ru-RU"/>
              </w:rPr>
              <w:t xml:space="preserve">При этом Банк России отметил, что </w:t>
            </w:r>
            <w:r w:rsidRPr="00ED18D1">
              <w:t xml:space="preserve">в случае получения регистратором из ЕГРЮЛ недостоверной (устаревшей) информации ответственность за действия в соответствии с этой информацией </w:t>
            </w:r>
            <w:r>
              <w:t xml:space="preserve">будет нести </w:t>
            </w:r>
            <w:r w:rsidRPr="00ED18D1">
              <w:t>регистратор</w:t>
            </w:r>
            <w:r w:rsidRPr="00ED18D1">
              <w:rPr>
                <w:rFonts w:eastAsia="Calibri"/>
                <w:bCs/>
                <w:lang w:eastAsia="ru-RU"/>
              </w:rPr>
              <w:t>.</w:t>
            </w:r>
          </w:p>
        </w:tc>
      </w:tr>
      <w:tr w:rsidR="005733A9" w:rsidRPr="00097751" w14:paraId="2898CB1F" w14:textId="77777777" w:rsidTr="001B4C51">
        <w:trPr>
          <w:trHeight w:val="609"/>
        </w:trPr>
        <w:tc>
          <w:tcPr>
            <w:tcW w:w="846" w:type="dxa"/>
          </w:tcPr>
          <w:p w14:paraId="51396DBE" w14:textId="371BCC3B" w:rsidR="005733A9" w:rsidRPr="001E66A9" w:rsidRDefault="005733A9" w:rsidP="003C4F59">
            <w:pPr>
              <w:spacing w:after="0" w:line="240" w:lineRule="auto"/>
              <w:jc w:val="center"/>
            </w:pPr>
            <w:r w:rsidRPr="001E66A9">
              <w:lastRenderedPageBreak/>
              <w:t>09-59</w:t>
            </w:r>
          </w:p>
        </w:tc>
        <w:tc>
          <w:tcPr>
            <w:tcW w:w="1701" w:type="dxa"/>
          </w:tcPr>
          <w:p w14:paraId="4076D391" w14:textId="77777777" w:rsidR="005733A9" w:rsidRPr="001E66A9" w:rsidRDefault="005733A9" w:rsidP="006B68BA">
            <w:pPr>
              <w:jc w:val="both"/>
            </w:pPr>
            <w:r w:rsidRPr="001E66A9">
              <w:t>ПАРТАД</w:t>
            </w:r>
          </w:p>
          <w:p w14:paraId="2333FC33" w14:textId="77777777" w:rsidR="005733A9" w:rsidRPr="001E66A9" w:rsidRDefault="005733A9" w:rsidP="006B68BA">
            <w:pPr>
              <w:jc w:val="both"/>
            </w:pPr>
          </w:p>
        </w:tc>
        <w:tc>
          <w:tcPr>
            <w:tcW w:w="6775" w:type="dxa"/>
          </w:tcPr>
          <w:p w14:paraId="40354D83" w14:textId="77777777" w:rsidR="005733A9" w:rsidRPr="000D4897" w:rsidRDefault="005733A9" w:rsidP="000D4897">
            <w:pPr>
              <w:spacing w:after="0" w:line="240" w:lineRule="auto"/>
              <w:jc w:val="both"/>
            </w:pPr>
            <w:r w:rsidRPr="001E66A9">
              <w:rPr>
                <w:b/>
              </w:rPr>
              <w:t>Пункт 30.11</w:t>
            </w:r>
            <w:r w:rsidRPr="001E66A9">
              <w:t xml:space="preserve"> Перечня обязательной информации, подлежащей раскрытию профессиональными участниками рынка ценных бумаг, утв. </w:t>
            </w:r>
            <w:r w:rsidRPr="000D4897">
              <w:rPr>
                <w:b/>
                <w:bCs/>
              </w:rPr>
              <w:t>Указанием Банка России от 28.12.2015 №3921-У</w:t>
            </w:r>
            <w:r w:rsidRPr="000D4897">
              <w:rPr>
                <w:bCs/>
              </w:rPr>
              <w:t xml:space="preserve"> </w:t>
            </w:r>
            <w:r w:rsidRPr="000D4897">
              <w:t>«О составе, объеме, порядке и сроках раскрытия информации профессиональными участниками рынка ценных бумаг»</w:t>
            </w:r>
          </w:p>
          <w:p w14:paraId="009BFD97" w14:textId="7FE0EEEF" w:rsidR="005733A9" w:rsidRPr="001E66A9" w:rsidRDefault="005733A9" w:rsidP="000D4897">
            <w:pPr>
              <w:spacing w:after="0" w:line="240" w:lineRule="auto"/>
              <w:jc w:val="both"/>
              <w:rPr>
                <w:bCs/>
              </w:rPr>
            </w:pPr>
            <w:r w:rsidRPr="000D4897">
              <w:rPr>
                <w:b/>
              </w:rPr>
              <w:t xml:space="preserve">Невыполнимое </w:t>
            </w:r>
            <w:proofErr w:type="gramStart"/>
            <w:r w:rsidRPr="000D4897">
              <w:rPr>
                <w:b/>
              </w:rPr>
              <w:t>на практике нормативное требование</w:t>
            </w:r>
            <w:r w:rsidRPr="001E66A9">
              <w:t xml:space="preserve"> о раскрытии информации на сайте регистратора о расторжении/прекращении</w:t>
            </w:r>
            <w:r>
              <w:t xml:space="preserve"> </w:t>
            </w:r>
            <w:r w:rsidRPr="001E66A9">
              <w:t>договора на ведение</w:t>
            </w:r>
            <w:proofErr w:type="gramEnd"/>
            <w:r w:rsidRPr="001E66A9">
              <w:t xml:space="preserve"> реестра </w:t>
            </w:r>
            <w:r w:rsidRPr="001E66A9">
              <w:rPr>
                <w:bCs/>
              </w:rPr>
              <w:t>не позднее 1-го рабочего дня</w:t>
            </w:r>
            <w:r w:rsidRPr="001E66A9">
              <w:t>, следующего за днем прекращения договора на ведение реестра</w:t>
            </w:r>
            <w:r w:rsidRPr="001E66A9">
              <w:rPr>
                <w:bCs/>
              </w:rPr>
              <w:t xml:space="preserve">. </w:t>
            </w:r>
          </w:p>
          <w:p w14:paraId="733B569C" w14:textId="77777777" w:rsidR="005733A9" w:rsidRPr="005733A9" w:rsidRDefault="005733A9" w:rsidP="000D4897">
            <w:pPr>
              <w:pStyle w:val="a8"/>
              <w:ind w:left="0"/>
              <w:jc w:val="both"/>
              <w:rPr>
                <w:lang w:val="ru-RU"/>
              </w:rPr>
            </w:pPr>
            <w:r w:rsidRPr="005733A9">
              <w:rPr>
                <w:lang w:val="ru-RU"/>
              </w:rPr>
              <w:t xml:space="preserve">Если считать датой прекращения договора на ведение реестра дату внесения записи в ЕГРЮЛ </w:t>
            </w:r>
            <w:proofErr w:type="gramStart"/>
            <w:r w:rsidRPr="005733A9">
              <w:rPr>
                <w:lang w:val="ru-RU"/>
              </w:rPr>
              <w:t>о ликвидации эмитента/дату внесения записи об исключении эмитента из реестра в связи с его реорганизацией</w:t>
            </w:r>
            <w:proofErr w:type="gramEnd"/>
            <w:r w:rsidRPr="005733A9">
              <w:rPr>
                <w:lang w:val="ru-RU"/>
              </w:rPr>
              <w:t xml:space="preserve">, то регистратор может и не иметь сведений о внесении таких записей в ЕГРЮЛ день в день. </w:t>
            </w:r>
          </w:p>
          <w:p w14:paraId="46768E64" w14:textId="77777777" w:rsidR="005733A9" w:rsidRPr="005733A9" w:rsidRDefault="005733A9" w:rsidP="000D4897">
            <w:pPr>
              <w:pStyle w:val="a8"/>
              <w:ind w:left="0"/>
              <w:jc w:val="both"/>
              <w:rPr>
                <w:b/>
                <w:lang w:val="ru-RU"/>
              </w:rPr>
            </w:pPr>
            <w:r w:rsidRPr="005733A9">
              <w:rPr>
                <w:lang w:val="ru-RU"/>
              </w:rPr>
              <w:t>Поэтому требование о раскрытии информации на сайте о расторжении/ прекращении договора не позднее 1-го рабочего дня, следующего за днем прекращения договора на ведение реестра, может быть в этом случае невыполнимо</w:t>
            </w:r>
            <w:r w:rsidRPr="005733A9">
              <w:rPr>
                <w:b/>
                <w:lang w:val="ru-RU"/>
              </w:rPr>
              <w:t xml:space="preserve">. </w:t>
            </w:r>
          </w:p>
          <w:p w14:paraId="4D416593" w14:textId="77777777" w:rsidR="005733A9" w:rsidRPr="005733A9" w:rsidRDefault="005733A9" w:rsidP="000D4897">
            <w:pPr>
              <w:pStyle w:val="a8"/>
              <w:ind w:left="0"/>
              <w:jc w:val="both"/>
              <w:rPr>
                <w:lang w:val="ru-RU"/>
              </w:rPr>
            </w:pPr>
            <w:r w:rsidRPr="005733A9">
              <w:rPr>
                <w:lang w:val="ru-RU"/>
              </w:rPr>
              <w:t>Несмотря на то, что регистратор работает по договору с эмитентом, он в силу объективных обстоятельств не может в ежедневном режиме проводить мониторинг в отношении всех эмитентов, находящихся у него на обслуживании.</w:t>
            </w:r>
          </w:p>
          <w:p w14:paraId="1C5EF2C4" w14:textId="60E28AAC" w:rsidR="005733A9" w:rsidRPr="001E66A9" w:rsidRDefault="005733A9" w:rsidP="000D4897">
            <w:pPr>
              <w:spacing w:after="0" w:line="240" w:lineRule="auto"/>
              <w:jc w:val="both"/>
              <w:rPr>
                <w:b/>
              </w:rPr>
            </w:pPr>
            <w:r w:rsidRPr="000D4897">
              <w:rPr>
                <w:b/>
              </w:rPr>
              <w:t>Предлагаем</w:t>
            </w:r>
            <w:r w:rsidRPr="001E66A9">
              <w:t xml:space="preserve"> урегулировать данный вопрос на уровне нормативного акта Банка России, закрепив за регистраторами обязанность по раскрытию информации в данном случае не позднее следующего рабочего дня, следующего за днем, когда регистратору стало известно о ликвидации/реорганизации эмитента.</w:t>
            </w:r>
          </w:p>
        </w:tc>
        <w:tc>
          <w:tcPr>
            <w:tcW w:w="5387" w:type="dxa"/>
          </w:tcPr>
          <w:p w14:paraId="01941290" w14:textId="15B86DE0" w:rsidR="005733A9" w:rsidRPr="00ED18D1" w:rsidRDefault="000D4897" w:rsidP="000D4897">
            <w:pPr>
              <w:spacing w:after="0" w:line="240" w:lineRule="auto"/>
              <w:jc w:val="both"/>
              <w:rPr>
                <w:b/>
              </w:rPr>
            </w:pPr>
            <w:r w:rsidRPr="00ED18D1">
              <w:rPr>
                <w:b/>
              </w:rPr>
              <w:t>Банку России дополнительно рассмотреть предложение в части смягчения требований в случаях реорганизации и ликвидации эмитента</w:t>
            </w:r>
            <w:r w:rsidRPr="00ED18D1">
              <w:t xml:space="preserve"> и к следующему заседанию сформ</w:t>
            </w:r>
            <w:r>
              <w:t>улировать</w:t>
            </w:r>
            <w:r w:rsidRPr="00ED18D1">
              <w:t xml:space="preserve"> подходы.</w:t>
            </w:r>
          </w:p>
        </w:tc>
      </w:tr>
    </w:tbl>
    <w:p w14:paraId="37BC9B68" w14:textId="77777777" w:rsidR="008A757C" w:rsidRDefault="008A757C"/>
    <w:p w14:paraId="1653A522" w14:textId="77777777" w:rsidR="009544FE" w:rsidRDefault="009544FE"/>
    <w:p w14:paraId="22C0C074" w14:textId="77777777" w:rsidR="00DD5A84" w:rsidRDefault="00DD5A84">
      <w:bookmarkStart w:id="0" w:name="_GoBack"/>
      <w:bookmarkEnd w:id="0"/>
    </w:p>
    <w:sectPr w:rsidR="00DD5A84" w:rsidSect="00E33BA4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8D02" w14:textId="77777777" w:rsidR="0048229E" w:rsidRDefault="0048229E" w:rsidP="00A555CD">
      <w:pPr>
        <w:spacing w:after="0" w:line="240" w:lineRule="auto"/>
      </w:pPr>
      <w:r>
        <w:separator/>
      </w:r>
    </w:p>
  </w:endnote>
  <w:endnote w:type="continuationSeparator" w:id="0">
    <w:p w14:paraId="08C40713" w14:textId="77777777" w:rsidR="0048229E" w:rsidRDefault="0048229E" w:rsidP="00A5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0EADE" w14:textId="77777777" w:rsidR="0048229E" w:rsidRDefault="0048229E" w:rsidP="00A555CD">
      <w:pPr>
        <w:spacing w:after="0" w:line="240" w:lineRule="auto"/>
      </w:pPr>
      <w:r>
        <w:separator/>
      </w:r>
    </w:p>
  </w:footnote>
  <w:footnote w:type="continuationSeparator" w:id="0">
    <w:p w14:paraId="2C09514B" w14:textId="77777777" w:rsidR="0048229E" w:rsidRDefault="0048229E" w:rsidP="00A5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25D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262986"/>
    <w:multiLevelType w:val="hybridMultilevel"/>
    <w:tmpl w:val="6A4E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0F5D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E06612"/>
    <w:multiLevelType w:val="hybridMultilevel"/>
    <w:tmpl w:val="1B80606E"/>
    <w:lvl w:ilvl="0" w:tplc="B5F4DFF8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E865042"/>
    <w:multiLevelType w:val="hybridMultilevel"/>
    <w:tmpl w:val="EF789792"/>
    <w:lvl w:ilvl="0" w:tplc="870088F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A7868B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F6688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7F70AC"/>
    <w:multiLevelType w:val="hybridMultilevel"/>
    <w:tmpl w:val="3D44AC2C"/>
    <w:lvl w:ilvl="0" w:tplc="5CA0D4DA">
      <w:start w:val="1"/>
      <w:numFmt w:val="decimal"/>
      <w:lvlText w:val="13-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807954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BD54A7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2"/>
    <w:rsid w:val="000502E0"/>
    <w:rsid w:val="0005341F"/>
    <w:rsid w:val="00065B07"/>
    <w:rsid w:val="00066167"/>
    <w:rsid w:val="00094380"/>
    <w:rsid w:val="00095498"/>
    <w:rsid w:val="00097751"/>
    <w:rsid w:val="000B1E76"/>
    <w:rsid w:val="000C18EB"/>
    <w:rsid w:val="000C41F0"/>
    <w:rsid w:val="000D1175"/>
    <w:rsid w:val="000D4897"/>
    <w:rsid w:val="000D4A09"/>
    <w:rsid w:val="000D5A8D"/>
    <w:rsid w:val="000E0606"/>
    <w:rsid w:val="0010455D"/>
    <w:rsid w:val="00115AC2"/>
    <w:rsid w:val="00117923"/>
    <w:rsid w:val="001208A2"/>
    <w:rsid w:val="00122BCB"/>
    <w:rsid w:val="00132901"/>
    <w:rsid w:val="00155AD0"/>
    <w:rsid w:val="00190808"/>
    <w:rsid w:val="00193802"/>
    <w:rsid w:val="001A4349"/>
    <w:rsid w:val="001B276A"/>
    <w:rsid w:val="001B3BF5"/>
    <w:rsid w:val="001B4C51"/>
    <w:rsid w:val="001F7BB1"/>
    <w:rsid w:val="00211F2B"/>
    <w:rsid w:val="002207D5"/>
    <w:rsid w:val="00225770"/>
    <w:rsid w:val="00230D9A"/>
    <w:rsid w:val="002A049B"/>
    <w:rsid w:val="002A06D8"/>
    <w:rsid w:val="002A3849"/>
    <w:rsid w:val="002A7A7A"/>
    <w:rsid w:val="002B09F7"/>
    <w:rsid w:val="002B28FC"/>
    <w:rsid w:val="002D259C"/>
    <w:rsid w:val="002E5EE0"/>
    <w:rsid w:val="002F0D2F"/>
    <w:rsid w:val="002F71A1"/>
    <w:rsid w:val="0030571E"/>
    <w:rsid w:val="003122F2"/>
    <w:rsid w:val="00315106"/>
    <w:rsid w:val="00346BC2"/>
    <w:rsid w:val="00381AE8"/>
    <w:rsid w:val="00397224"/>
    <w:rsid w:val="003B7223"/>
    <w:rsid w:val="003C231D"/>
    <w:rsid w:val="003C3EC5"/>
    <w:rsid w:val="003C4F59"/>
    <w:rsid w:val="003D6141"/>
    <w:rsid w:val="003E081B"/>
    <w:rsid w:val="003E10D0"/>
    <w:rsid w:val="003E2A85"/>
    <w:rsid w:val="003E6264"/>
    <w:rsid w:val="00411F8B"/>
    <w:rsid w:val="0041332F"/>
    <w:rsid w:val="00421DDD"/>
    <w:rsid w:val="004276D0"/>
    <w:rsid w:val="004568EF"/>
    <w:rsid w:val="004635D3"/>
    <w:rsid w:val="004639FE"/>
    <w:rsid w:val="0048229E"/>
    <w:rsid w:val="004900AB"/>
    <w:rsid w:val="004D54EE"/>
    <w:rsid w:val="004E382A"/>
    <w:rsid w:val="004E787E"/>
    <w:rsid w:val="00520FBA"/>
    <w:rsid w:val="00551D6C"/>
    <w:rsid w:val="005571C3"/>
    <w:rsid w:val="005733A9"/>
    <w:rsid w:val="00573954"/>
    <w:rsid w:val="005D2B2C"/>
    <w:rsid w:val="005D7604"/>
    <w:rsid w:val="005E1DF5"/>
    <w:rsid w:val="005F6EC3"/>
    <w:rsid w:val="00602DCF"/>
    <w:rsid w:val="006232A0"/>
    <w:rsid w:val="006244B6"/>
    <w:rsid w:val="00636484"/>
    <w:rsid w:val="00656933"/>
    <w:rsid w:val="006609D6"/>
    <w:rsid w:val="00670EC3"/>
    <w:rsid w:val="006874AD"/>
    <w:rsid w:val="006959FE"/>
    <w:rsid w:val="006B79C3"/>
    <w:rsid w:val="0070103C"/>
    <w:rsid w:val="00704EFD"/>
    <w:rsid w:val="007066B9"/>
    <w:rsid w:val="00711C27"/>
    <w:rsid w:val="00720795"/>
    <w:rsid w:val="00747A28"/>
    <w:rsid w:val="007904F8"/>
    <w:rsid w:val="007A71E5"/>
    <w:rsid w:val="007D2558"/>
    <w:rsid w:val="007E2934"/>
    <w:rsid w:val="007E3D5E"/>
    <w:rsid w:val="007E458B"/>
    <w:rsid w:val="007F5109"/>
    <w:rsid w:val="00810B0D"/>
    <w:rsid w:val="00812B60"/>
    <w:rsid w:val="00812D79"/>
    <w:rsid w:val="00847FF4"/>
    <w:rsid w:val="00874D9A"/>
    <w:rsid w:val="00887F77"/>
    <w:rsid w:val="00896139"/>
    <w:rsid w:val="008A1E92"/>
    <w:rsid w:val="008A757C"/>
    <w:rsid w:val="008B1D9F"/>
    <w:rsid w:val="008B4CCE"/>
    <w:rsid w:val="008D6F12"/>
    <w:rsid w:val="008F0841"/>
    <w:rsid w:val="00926E48"/>
    <w:rsid w:val="009544FE"/>
    <w:rsid w:val="009820DE"/>
    <w:rsid w:val="00984303"/>
    <w:rsid w:val="00995112"/>
    <w:rsid w:val="009A4164"/>
    <w:rsid w:val="00A14DCB"/>
    <w:rsid w:val="00A45BE7"/>
    <w:rsid w:val="00A555CD"/>
    <w:rsid w:val="00A63C39"/>
    <w:rsid w:val="00A66C0E"/>
    <w:rsid w:val="00A96D8A"/>
    <w:rsid w:val="00AB05B7"/>
    <w:rsid w:val="00AB6314"/>
    <w:rsid w:val="00AD4048"/>
    <w:rsid w:val="00AE15DD"/>
    <w:rsid w:val="00B01B8F"/>
    <w:rsid w:val="00B20654"/>
    <w:rsid w:val="00B20935"/>
    <w:rsid w:val="00B27D26"/>
    <w:rsid w:val="00B34185"/>
    <w:rsid w:val="00B55063"/>
    <w:rsid w:val="00B73601"/>
    <w:rsid w:val="00B94C70"/>
    <w:rsid w:val="00B961E0"/>
    <w:rsid w:val="00BD4FF6"/>
    <w:rsid w:val="00BD57B2"/>
    <w:rsid w:val="00BF0EF5"/>
    <w:rsid w:val="00C0489C"/>
    <w:rsid w:val="00C243AA"/>
    <w:rsid w:val="00C36043"/>
    <w:rsid w:val="00C40F52"/>
    <w:rsid w:val="00C4239F"/>
    <w:rsid w:val="00C451B7"/>
    <w:rsid w:val="00C46D5F"/>
    <w:rsid w:val="00C5292E"/>
    <w:rsid w:val="00C558DD"/>
    <w:rsid w:val="00C85BE9"/>
    <w:rsid w:val="00CB4DE6"/>
    <w:rsid w:val="00CB6E40"/>
    <w:rsid w:val="00CC06D7"/>
    <w:rsid w:val="00CE545D"/>
    <w:rsid w:val="00CE60B8"/>
    <w:rsid w:val="00CF217A"/>
    <w:rsid w:val="00D11FD0"/>
    <w:rsid w:val="00D12206"/>
    <w:rsid w:val="00D14DA5"/>
    <w:rsid w:val="00D170DD"/>
    <w:rsid w:val="00D201E9"/>
    <w:rsid w:val="00D245A6"/>
    <w:rsid w:val="00D34209"/>
    <w:rsid w:val="00D60D3E"/>
    <w:rsid w:val="00D6596F"/>
    <w:rsid w:val="00D72A5B"/>
    <w:rsid w:val="00D81648"/>
    <w:rsid w:val="00D83C45"/>
    <w:rsid w:val="00DA3343"/>
    <w:rsid w:val="00DA3AE8"/>
    <w:rsid w:val="00DD5A84"/>
    <w:rsid w:val="00DE3377"/>
    <w:rsid w:val="00DE6983"/>
    <w:rsid w:val="00E07664"/>
    <w:rsid w:val="00E17FEA"/>
    <w:rsid w:val="00E33BA4"/>
    <w:rsid w:val="00E4006D"/>
    <w:rsid w:val="00E401CC"/>
    <w:rsid w:val="00E720D9"/>
    <w:rsid w:val="00E7359F"/>
    <w:rsid w:val="00E86160"/>
    <w:rsid w:val="00E90BE0"/>
    <w:rsid w:val="00E922CC"/>
    <w:rsid w:val="00EC4309"/>
    <w:rsid w:val="00EE4E3C"/>
    <w:rsid w:val="00EE77E0"/>
    <w:rsid w:val="00F01BBA"/>
    <w:rsid w:val="00F074F6"/>
    <w:rsid w:val="00F22003"/>
    <w:rsid w:val="00F54E22"/>
    <w:rsid w:val="00F617F9"/>
    <w:rsid w:val="00F906EC"/>
    <w:rsid w:val="00FB03D5"/>
    <w:rsid w:val="00FC47C4"/>
    <w:rsid w:val="00FC52AB"/>
    <w:rsid w:val="00FD2583"/>
    <w:rsid w:val="00FE12F4"/>
    <w:rsid w:val="00FF4DBE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0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5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55CD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rsid w:val="00CB6E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link w:val="a9"/>
    <w:uiPriority w:val="34"/>
    <w:qFormat/>
    <w:rsid w:val="00CB6E40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9">
    <w:name w:val="Абзац списка Знак"/>
    <w:basedOn w:val="a0"/>
    <w:link w:val="a8"/>
    <w:uiPriority w:val="34"/>
    <w:locked/>
    <w:rsid w:val="00CB6E40"/>
    <w:rPr>
      <w:rFonts w:eastAsia="Times New Roman"/>
      <w:lang w:val="en-US"/>
    </w:rPr>
  </w:style>
  <w:style w:type="character" w:customStyle="1" w:styleId="aa">
    <w:name w:val="Текст таблицы"/>
    <w:uiPriority w:val="99"/>
    <w:rsid w:val="00CB6E40"/>
    <w:rPr>
      <w:rFonts w:cs="Times New Roman"/>
    </w:rPr>
  </w:style>
  <w:style w:type="paragraph" w:styleId="ab">
    <w:name w:val="header"/>
    <w:basedOn w:val="a"/>
    <w:link w:val="11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rsid w:val="003122F2"/>
  </w:style>
  <w:style w:type="paragraph" w:styleId="ac">
    <w:name w:val="footer"/>
    <w:basedOn w:val="a"/>
    <w:link w:val="ad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2F2"/>
  </w:style>
  <w:style w:type="character" w:customStyle="1" w:styleId="10">
    <w:name w:val="Заголовок 1 Знак"/>
    <w:basedOn w:val="a0"/>
    <w:link w:val="1"/>
    <w:uiPriority w:val="9"/>
    <w:rsid w:val="00D14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8A1E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E9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E9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E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E9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E92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rsid w:val="003E081B"/>
    <w:rPr>
      <w:rFonts w:cs="Times New Roman"/>
      <w:color w:val="0563C1"/>
      <w:u w:val="single"/>
    </w:rPr>
  </w:style>
  <w:style w:type="paragraph" w:styleId="af6">
    <w:name w:val="No Spacing"/>
    <w:uiPriority w:val="1"/>
    <w:qFormat/>
    <w:rsid w:val="00AE15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m864124147232581627a1">
    <w:name w:val="m_864124147232581627a1"/>
    <w:basedOn w:val="a0"/>
    <w:rsid w:val="00995112"/>
  </w:style>
  <w:style w:type="character" w:styleId="af7">
    <w:name w:val="Strong"/>
    <w:basedOn w:val="a0"/>
    <w:uiPriority w:val="22"/>
    <w:qFormat/>
    <w:rsid w:val="00DE6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5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55CD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rsid w:val="00CB6E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link w:val="a9"/>
    <w:uiPriority w:val="34"/>
    <w:qFormat/>
    <w:rsid w:val="00CB6E40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9">
    <w:name w:val="Абзац списка Знак"/>
    <w:basedOn w:val="a0"/>
    <w:link w:val="a8"/>
    <w:uiPriority w:val="34"/>
    <w:locked/>
    <w:rsid w:val="00CB6E40"/>
    <w:rPr>
      <w:rFonts w:eastAsia="Times New Roman"/>
      <w:lang w:val="en-US"/>
    </w:rPr>
  </w:style>
  <w:style w:type="character" w:customStyle="1" w:styleId="aa">
    <w:name w:val="Текст таблицы"/>
    <w:uiPriority w:val="99"/>
    <w:rsid w:val="00CB6E40"/>
    <w:rPr>
      <w:rFonts w:cs="Times New Roman"/>
    </w:rPr>
  </w:style>
  <w:style w:type="paragraph" w:styleId="ab">
    <w:name w:val="header"/>
    <w:basedOn w:val="a"/>
    <w:link w:val="11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rsid w:val="003122F2"/>
  </w:style>
  <w:style w:type="paragraph" w:styleId="ac">
    <w:name w:val="footer"/>
    <w:basedOn w:val="a"/>
    <w:link w:val="ad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2F2"/>
  </w:style>
  <w:style w:type="character" w:customStyle="1" w:styleId="10">
    <w:name w:val="Заголовок 1 Знак"/>
    <w:basedOn w:val="a0"/>
    <w:link w:val="1"/>
    <w:uiPriority w:val="9"/>
    <w:rsid w:val="00D14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8A1E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E9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E9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E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E9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E92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rsid w:val="003E081B"/>
    <w:rPr>
      <w:rFonts w:cs="Times New Roman"/>
      <w:color w:val="0563C1"/>
      <w:u w:val="single"/>
    </w:rPr>
  </w:style>
  <w:style w:type="paragraph" w:styleId="af6">
    <w:name w:val="No Spacing"/>
    <w:uiPriority w:val="1"/>
    <w:qFormat/>
    <w:rsid w:val="00AE15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m864124147232581627a1">
    <w:name w:val="m_864124147232581627a1"/>
    <w:basedOn w:val="a0"/>
    <w:rsid w:val="00995112"/>
  </w:style>
  <w:style w:type="character" w:styleId="af7">
    <w:name w:val="Strong"/>
    <w:basedOn w:val="a0"/>
    <w:uiPriority w:val="22"/>
    <w:qFormat/>
    <w:rsid w:val="00DE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86D8-1857-47DC-8593-7258931C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Zemskaya Ekaterina</dc:creator>
  <cp:lastModifiedBy>Марина</cp:lastModifiedBy>
  <cp:revision>3</cp:revision>
  <cp:lastPrinted>2019-11-13T11:25:00Z</cp:lastPrinted>
  <dcterms:created xsi:type="dcterms:W3CDTF">2020-01-27T09:21:00Z</dcterms:created>
  <dcterms:modified xsi:type="dcterms:W3CDTF">2020-01-27T09:21:00Z</dcterms:modified>
</cp:coreProperties>
</file>