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A3" w:rsidRDefault="00C758A3" w:rsidP="00C758A3">
      <w:pPr>
        <w:rPr>
          <w:rFonts w:ascii="Times New Roman" w:hAnsi="Times New Roman"/>
        </w:rPr>
      </w:pPr>
    </w:p>
    <w:p w:rsidR="00DF36D1" w:rsidRPr="00556363" w:rsidRDefault="00DF36D1" w:rsidP="00C758A3">
      <w:pPr>
        <w:rPr>
          <w:rFonts w:ascii="Times New Roman" w:hAnsi="Times New Roman"/>
        </w:rPr>
      </w:pPr>
    </w:p>
    <w:p w:rsidR="00556363" w:rsidRPr="00DD2DB1" w:rsidRDefault="00556363" w:rsidP="00556363">
      <w:pPr>
        <w:ind w:left="-142"/>
        <w:jc w:val="both"/>
        <w:rPr>
          <w:rFonts w:ascii="Times New Roman" w:hAnsi="Times New Roman"/>
          <w:b/>
        </w:rPr>
      </w:pPr>
      <w:r w:rsidRPr="00DD2DB1">
        <w:rPr>
          <w:rFonts w:ascii="Times New Roman" w:hAnsi="Times New Roman"/>
          <w:b/>
        </w:rPr>
        <w:t xml:space="preserve">Предлагаемые изменения в </w:t>
      </w:r>
      <w:r w:rsidR="00EE06EC" w:rsidRPr="00E01787">
        <w:rPr>
          <w:rFonts w:ascii="Times New Roman" w:hAnsi="Times New Roman"/>
          <w:b/>
        </w:rPr>
        <w:t>Указание Банка России от 22.03.2018 N 4748-У "О максимальной плате,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бумаг, и порядке ее определения"</w:t>
      </w:r>
      <w:r w:rsidR="00EE06EC">
        <w:rPr>
          <w:rFonts w:ascii="Times New Roman" w:hAnsi="Times New Roman"/>
          <w:b/>
        </w:rPr>
        <w:t xml:space="preserve"> и </w:t>
      </w:r>
      <w:r w:rsidR="00EE06EC" w:rsidRPr="00E01787">
        <w:rPr>
          <w:rFonts w:ascii="Times New Roman" w:hAnsi="Times New Roman"/>
          <w:b/>
        </w:rPr>
        <w:t>Федеральный закон от 22.04.1996 N 39-ФЗ (ред. от 27.12.2019, с изм. от 07.04.2020) "О рынке ценных бумаг"</w:t>
      </w:r>
      <w:r w:rsidR="00DD2DB1" w:rsidRPr="00DD2DB1">
        <w:rPr>
          <w:rFonts w:ascii="Times New Roman" w:hAnsi="Times New Roman"/>
          <w:b/>
        </w:rPr>
        <w:t>.</w:t>
      </w:r>
    </w:p>
    <w:p w:rsidR="00556363" w:rsidRPr="00556363" w:rsidRDefault="00556363" w:rsidP="00556363">
      <w:pPr>
        <w:jc w:val="both"/>
        <w:rPr>
          <w:rFonts w:ascii="Times New Roman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50"/>
        <w:gridCol w:w="5426"/>
      </w:tblGrid>
      <w:tr w:rsidR="00556363" w:rsidRPr="00C15EB7" w:rsidTr="00BB7F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63" w:rsidRPr="00C15EB7" w:rsidRDefault="00556363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15EB7">
              <w:rPr>
                <w:rFonts w:ascii="Times New Roman" w:hAnsi="Times New Roman"/>
                <w:b/>
              </w:rPr>
              <w:t>Действующая редакция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63" w:rsidRPr="00C15EB7" w:rsidRDefault="00556363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15EB7">
              <w:rPr>
                <w:rFonts w:ascii="Times New Roman" w:hAnsi="Times New Roman"/>
                <w:b/>
              </w:rPr>
              <w:t>Предлагаемые изменения</w:t>
            </w:r>
          </w:p>
        </w:tc>
      </w:tr>
      <w:tr w:rsidR="00CF6CC4" w:rsidRPr="00C15EB7" w:rsidTr="00EE06EC">
        <w:trPr>
          <w:trHeight w:val="898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C4" w:rsidRPr="00C15EB7" w:rsidRDefault="00CF6CC4" w:rsidP="00EE06EC">
            <w:pPr>
              <w:ind w:firstLine="540"/>
              <w:jc w:val="center"/>
              <w:rPr>
                <w:rFonts w:ascii="Times New Roman" w:hAnsi="Times New Roman"/>
                <w:b/>
              </w:rPr>
            </w:pPr>
            <w:r w:rsidRPr="00E01787">
              <w:rPr>
                <w:rFonts w:ascii="Times New Roman" w:hAnsi="Times New Roman"/>
                <w:b/>
              </w:rPr>
              <w:t>Указание Банка России от 22.03.2018 N 4748-У "О максимальной плате,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бумаг, и порядке ее определения" (Зарегистрировано в Минюсте России 17.04.2018 N 50800)</w:t>
            </w:r>
          </w:p>
        </w:tc>
      </w:tr>
      <w:tr w:rsidR="00CF6CC4" w:rsidRPr="00C15EB7" w:rsidTr="00BB7F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B4713F" w:rsidRDefault="00CF6CC4" w:rsidP="00E01787">
            <w:pPr>
              <w:overflowPunct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1. Максимальная плата, взимаемая держателем реестра с зарегистрированных лиц за проведение операций по лицевым счетам и за предоставление информации из реестра, при условии соблюдения требования, </w:t>
            </w:r>
            <w:r w:rsidRPr="00B4713F">
              <w:rPr>
                <w:rFonts w:ascii="Times New Roman" w:eastAsia="Calibri" w:hAnsi="Times New Roman"/>
              </w:rPr>
              <w:t xml:space="preserve">установленного </w:t>
            </w:r>
            <w:hyperlink w:anchor="Par28" w:history="1">
              <w:r w:rsidRPr="00B4713F">
                <w:rPr>
                  <w:rFonts w:ascii="Times New Roman" w:eastAsia="Calibri" w:hAnsi="Times New Roman"/>
                </w:rPr>
                <w:t>пунктом 2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Указания, составляет следующую величину.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1.1. За открытие лицевого счета: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135 рублей - для физических лиц;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650 рублей - для юридических лиц.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1.2. За закрытие лицевого счета: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65 рублей - для физических лиц;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325 рублей - для юридических лиц.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1.3. За внесение записи по лицевому счету об обременении ценных бумаг - 1 500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1.4. За внесение записи по лицевому счету о прекращении обременения ценных бумаг - 1 500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1.5. За внесение записи по лицевому счету об изменении сведений, содержащихся в записи об обременении ценных бумаг, за исключением внесения записи по лицевому счету о прекращении обременения ценных бумаг - 1 500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0" w:name="Par10"/>
            <w:bookmarkEnd w:id="0"/>
            <w:r w:rsidRPr="00B4713F">
              <w:rPr>
                <w:rFonts w:ascii="Times New Roman" w:eastAsia="Calibri" w:hAnsi="Times New Roman"/>
              </w:rPr>
              <w:t xml:space="preserve">1.6. За внесение записей о списании ценных бумаг с лицевого счета зарегистрированного лица и зачислении ценных бумаг на лицевой счет другого зарегистрированного лица, за исключением случаев, предусмотренных </w:t>
            </w:r>
            <w:hyperlink w:anchor="Par17" w:history="1">
              <w:r w:rsidRPr="00B4713F">
                <w:rPr>
                  <w:rFonts w:ascii="Times New Roman" w:eastAsia="Calibri" w:hAnsi="Times New Roman"/>
                </w:rPr>
                <w:t>подпунктами 1.7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и </w:t>
            </w:r>
            <w:hyperlink w:anchor="Par20" w:history="1">
              <w:r w:rsidRPr="00B4713F">
                <w:rPr>
                  <w:rFonts w:ascii="Times New Roman" w:eastAsia="Calibri" w:hAnsi="Times New Roman"/>
                </w:rPr>
                <w:t>1.8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пункта, в совокупности за обе операции: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 xml:space="preserve">при стоимости ценных бумаг, определенной в порядке, указанном в </w:t>
            </w:r>
            <w:hyperlink w:anchor="Par29" w:history="1">
              <w:r w:rsidRPr="00B4713F">
                <w:rPr>
                  <w:rFonts w:ascii="Times New Roman" w:eastAsia="Calibri" w:hAnsi="Times New Roman"/>
                </w:rPr>
                <w:t>пункте 3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 (далее - стоимость ценных бумаг), не более 3 000 рублей - 300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3 000 рублей, но не более 600 000 рублей - 3 000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lastRenderedPageBreak/>
              <w:t>при стоимости ценных бумаг более 600 000 рублей, но не более 1 400 000 рублей - 7 000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1 400 000 рублей, но не более 10 000 000 рублей - 50 000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10 000 000 рублей, но не более 100 000 000 рублей - 500 000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100 000 000 рублей - 1 500 000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1" w:name="Par17"/>
            <w:bookmarkEnd w:id="1"/>
            <w:r w:rsidRPr="00B4713F">
              <w:rPr>
                <w:rFonts w:ascii="Times New Roman" w:eastAsia="Calibri" w:hAnsi="Times New Roman"/>
              </w:rPr>
              <w:t>1.7. За внесение записей о списании ценных бумаг с лицевого счета номинального держателя, номинального держателя центрального депозитария, доверительного управляющего и зачислении ценных бумаг на лицевой счет владельца, другого номинального держателя, номинального держателя центрального депозитария, доверительного управляющего в совокупности за обе операции, или внесение записей о списании ценных бумаг с лицевого счета владельца и зачислении ценных бумаг на лицевой счет номинального держателя, номинального держателя центрального депозитария, доверительного управляющего в совокупности за обе операции, не связанных с переходом прав собственности на ценные бумаги: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не более 3 000 рублей - 300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при стоимости ценных бумаг более 3 000 рублей - 1 000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2" w:name="Par20"/>
            <w:bookmarkEnd w:id="2"/>
            <w:r w:rsidRPr="00B4713F">
              <w:rPr>
                <w:rFonts w:ascii="Times New Roman" w:eastAsia="Calibri" w:hAnsi="Times New Roman"/>
              </w:rPr>
              <w:t>1.8. За внесение записей о списании и зачислении ценных бумаг в результате реорганизации юридического лица в форме преобразования в совокупности за обе операции - 3 000 рублей.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3" w:name="Par21"/>
            <w:bookmarkEnd w:id="3"/>
            <w:r w:rsidRPr="00B4713F">
              <w:rPr>
                <w:rFonts w:ascii="Times New Roman" w:eastAsia="Calibri" w:hAnsi="Times New Roman"/>
              </w:rPr>
              <w:t xml:space="preserve">1.9. За предоставление зарегистрированному лицу по его требованию выписки из реестра по его лицевому счету, за исключением случая, предусмотренного абзацем вторым </w:t>
            </w:r>
            <w:hyperlink r:id="rId8" w:history="1">
              <w:r w:rsidRPr="00B4713F">
                <w:rPr>
                  <w:rFonts w:ascii="Times New Roman" w:eastAsia="Calibri" w:hAnsi="Times New Roman"/>
                </w:rPr>
                <w:t>пункта 3.7 статьи 8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Федерального закона "О рынке ценных бумаг", или справки о наличии на счете определенного количества ценных бумаг, или отчета (уведомления) о совершении операции по лицевому счету: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на бумажном носителе - 270 рублей;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>в форме электронного документа - 135 рублей.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 xml:space="preserve">1.10. За предоставление зарегистрированному лицу отчета (справки) </w:t>
            </w:r>
            <w:r>
              <w:rPr>
                <w:rFonts w:ascii="Times New Roman" w:eastAsia="Calibri" w:hAnsi="Times New Roman"/>
              </w:rPr>
              <w:t>об операциях, совершенных по его лицевому счету (далее - отчет (справка):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на бумажном носителе - 270 рублей за отчет (справку), содержащий (содержащую) не более четырех записей об операциях, совершенных по лицевому счету, плюс 65 рублей за каждую последующую такую запись, но не более 2 750 рублей за отчет (справку);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форме электронного документа - 135 рублей за отчет (справку), содержащий (содержащую) не более четырех записей об операциях, совершенных по лицевому счету, плюс 30 рублей за каждую последующую запись, но не более 1 375 рублей за отчет (справку).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4" w:name="Par27"/>
            <w:bookmarkEnd w:id="4"/>
            <w:r>
              <w:rPr>
                <w:rFonts w:ascii="Times New Roman" w:eastAsia="Calibri" w:hAnsi="Times New Roman"/>
              </w:rPr>
              <w:t>1.11. За предоставление зарегистрированному лицу, на лицевом счете которого учитывается более одного процента голосующих акций эмитента, информации из реестра об имени (наименовании) зарегистрированных лиц и о количестве акций каждой категории (каждого типа), учитываемых на их лицевых счетах, - 8 000 рублей за информацию, содержащую не более 2 000 записей о зарегистрированных лицах и учитываемых на их лицевых счетах акциях, плюс 1 рубль за каждую последующую запись.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5" w:name="Par28"/>
            <w:bookmarkEnd w:id="5"/>
            <w:r>
              <w:rPr>
                <w:rFonts w:ascii="Times New Roman" w:eastAsia="Calibri" w:hAnsi="Times New Roman"/>
              </w:rPr>
              <w:t xml:space="preserve">2. </w:t>
            </w:r>
            <w:r w:rsidRPr="00B4713F">
              <w:rPr>
                <w:rFonts w:ascii="Times New Roman" w:eastAsia="Calibri" w:hAnsi="Times New Roman"/>
              </w:rPr>
              <w:t xml:space="preserve">Установленная </w:t>
            </w:r>
            <w:hyperlink w:anchor="Par21" w:history="1">
              <w:r w:rsidRPr="00B4713F">
                <w:rPr>
                  <w:rFonts w:ascii="Times New Roman" w:eastAsia="Calibri" w:hAnsi="Times New Roman"/>
                </w:rPr>
                <w:t>подпунктами 1.9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- </w:t>
            </w:r>
            <w:hyperlink w:anchor="Par27" w:history="1">
              <w:r w:rsidRPr="00B4713F">
                <w:rPr>
                  <w:rFonts w:ascii="Times New Roman" w:eastAsia="Calibri" w:hAnsi="Times New Roman"/>
                </w:rPr>
                <w:t>1.11 пункта 1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 максимальная плата, взимаемая держателем реестра с зарегистрированных лиц за предоставление информации из реестра, включает все </w:t>
            </w:r>
            <w:bookmarkStart w:id="6" w:name="_GoBack"/>
            <w:bookmarkEnd w:id="6"/>
            <w:r w:rsidRPr="00B4713F">
              <w:rPr>
                <w:rFonts w:ascii="Times New Roman" w:eastAsia="Calibri" w:hAnsi="Times New Roman"/>
              </w:rPr>
              <w:t>фактически понесенные держателем реестра расходы, связанные с предоставлением информации из реестра, за исключением расходов по оплате услуг почтовой связи по доставке и пересылке указанной информации на бумажном носителе.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bookmarkStart w:id="7" w:name="Par29"/>
            <w:bookmarkEnd w:id="7"/>
            <w:r w:rsidRPr="00B4713F">
              <w:rPr>
                <w:rFonts w:ascii="Times New Roman" w:eastAsia="Calibri" w:hAnsi="Times New Roman"/>
              </w:rPr>
              <w:t xml:space="preserve">3. В целях определения максимальной платы, взимаемой держателем реестра с зарегистрированных лиц за проведение операций по лицевым счетам, предусмотренным в </w:t>
            </w:r>
            <w:hyperlink w:anchor="Par10" w:history="1">
              <w:r w:rsidRPr="00B4713F">
                <w:rPr>
                  <w:rFonts w:ascii="Times New Roman" w:eastAsia="Calibri" w:hAnsi="Times New Roman"/>
                </w:rPr>
                <w:t>подпунктах 1.6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и </w:t>
            </w:r>
            <w:hyperlink w:anchor="Par17" w:history="1">
              <w:r w:rsidRPr="00B4713F">
                <w:rPr>
                  <w:rFonts w:ascii="Times New Roman" w:eastAsia="Calibri" w:hAnsi="Times New Roman"/>
                </w:rPr>
                <w:t>1.7 пункта 1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Указания, стоимость ценных бумаг определяется держателем реестра исходя из количества списываемых с лицевого счета ценных бумаг и рыночной цены ценной бумаги, определенной в порядке, установленном для определения налоговой базы по налогу на доходы физических лиц в соответствии с </w:t>
            </w:r>
            <w:hyperlink r:id="rId9" w:history="1">
              <w:r w:rsidRPr="00B4713F">
                <w:rPr>
                  <w:rFonts w:ascii="Times New Roman" w:eastAsia="Calibri" w:hAnsi="Times New Roman"/>
                </w:rPr>
                <w:t>главой 23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Налогового кодекса Российской Федерации (Собрание законодательства Российской Федерации, 2000, N 32, ст. 3340).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 xml:space="preserve">В случае если в соответствии с </w:t>
            </w:r>
            <w:hyperlink w:anchor="Par29" w:history="1">
              <w:r w:rsidRPr="00B4713F">
                <w:rPr>
                  <w:rFonts w:ascii="Times New Roman" w:eastAsia="Calibri" w:hAnsi="Times New Roman"/>
                </w:rPr>
                <w:t>абзацем первым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пункта рыночная цена ценной бумаги не определена, стоимость ценных бумаг, предусмотренная в </w:t>
            </w:r>
            <w:hyperlink w:anchor="Par10" w:history="1">
              <w:r w:rsidRPr="00B4713F">
                <w:rPr>
                  <w:rFonts w:ascii="Times New Roman" w:eastAsia="Calibri" w:hAnsi="Times New Roman"/>
                </w:rPr>
                <w:t>подпунктах 1.6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и </w:t>
            </w:r>
            <w:hyperlink w:anchor="Par17" w:history="1">
              <w:r w:rsidRPr="00B4713F">
                <w:rPr>
                  <w:rFonts w:ascii="Times New Roman" w:eastAsia="Calibri" w:hAnsi="Times New Roman"/>
                </w:rPr>
                <w:t>1.7 пункта 1</w:t>
              </w:r>
            </w:hyperlink>
            <w:r w:rsidRPr="00B4713F">
              <w:rPr>
                <w:rFonts w:ascii="Times New Roman" w:eastAsia="Calibri" w:hAnsi="Times New Roman"/>
              </w:rPr>
              <w:t xml:space="preserve"> настоящего Указания, определяется в следующем порядке:</w:t>
            </w:r>
          </w:p>
          <w:p w:rsidR="00CF6CC4" w:rsidRPr="00B4713F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 w:rsidRPr="00B4713F">
              <w:rPr>
                <w:rFonts w:ascii="Times New Roman" w:eastAsia="Calibri" w:hAnsi="Times New Roman"/>
              </w:rPr>
              <w:t xml:space="preserve">для эмиссионных ценных бумаг - как произведение номинальной стоимости указанных ценных бумаг на их </w:t>
            </w:r>
            <w:r w:rsidRPr="00B4713F">
              <w:rPr>
                <w:rFonts w:ascii="Times New Roman" w:eastAsia="Calibri" w:hAnsi="Times New Roman"/>
              </w:rPr>
              <w:lastRenderedPageBreak/>
              <w:t>количество;</w:t>
            </w:r>
          </w:p>
          <w:p w:rsidR="00CF6CC4" w:rsidRDefault="00CF6CC4" w:rsidP="00E01787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инвестиционных паев паевых инвестиционных фондов - как произведение расчетной стоимости такого инвестиционного пая паевого инвестиционного фонда по состоянию на последнюю дату определения расчетной стоимости, предшествующую дате подачи распоряжения о проведении операции в реестре, на их количество;</w:t>
            </w:r>
          </w:p>
          <w:p w:rsidR="00CF6CC4" w:rsidRPr="00C15EB7" w:rsidRDefault="00CF6CC4" w:rsidP="00DD2DB1">
            <w:pPr>
              <w:overflowPunct/>
              <w:spacing w:before="200"/>
              <w:ind w:firstLine="567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для ипотечных сертификатов участия - как произведение оценочной (расчетной) стоимости такого ипотечного сертификата участия по состоянию на последнюю дату определения оценочной стоимости, предшествующую дате подачи распоряжения о проведении операции в реестре, на их количество</w:t>
            </w:r>
            <w:r w:rsidRPr="00C15EB7">
              <w:rPr>
                <w:rFonts w:ascii="Times New Roman" w:hAnsi="Times New Roman"/>
              </w:rPr>
              <w:t>.</w:t>
            </w:r>
          </w:p>
          <w:p w:rsidR="00CF6CC4" w:rsidRPr="00C15EB7" w:rsidRDefault="00CF6CC4">
            <w:pPr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EE06EC" w:rsidRDefault="00CF6CC4" w:rsidP="00CF6CC4">
            <w:pPr>
              <w:ind w:firstLine="601"/>
              <w:contextualSpacing/>
              <w:jc w:val="both"/>
              <w:rPr>
                <w:rFonts w:ascii="Times New Roman" w:hAnsi="Times New Roman"/>
              </w:rPr>
            </w:pPr>
            <w:r w:rsidRPr="00EE06EC">
              <w:rPr>
                <w:rFonts w:ascii="Times New Roman" w:hAnsi="Times New Roman"/>
              </w:rPr>
              <w:lastRenderedPageBreak/>
              <w:t>Максимальная плата, взимаемая держателем реестра с зарегистрированных лиц за внесение записей о списании ценных бумаг с лицевого счета номинального держателя, номинального держателя центрального депозитария, доверительного управляющего и зачислении ценных бумаг на лицевой счет владельца, другого номинального держателя, номинального держателя центрального депозитария, доверительного управляющего в совокупности за обе операции, или внесение записей о списании ценных бумаг с лицевого счета владельца и зачислении ценных бумаг на лицевой счет номинального держателя, номинального держателя центрального депозитария, доверительного управляющего операции, не связанных с переходом прав собственности на ценные бумаги, составляет следующую величину:</w:t>
            </w:r>
          </w:p>
          <w:p w:rsidR="00CF6CC4" w:rsidRPr="008B29A1" w:rsidRDefault="00C665A9" w:rsidP="008B29A1">
            <w:pPr>
              <w:overflowPunct/>
              <w:spacing w:before="200"/>
              <w:ind w:firstLine="540"/>
              <w:jc w:val="both"/>
              <w:textAlignment w:val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для физических лиц</w:t>
            </w:r>
            <w:r w:rsidR="00373CD1">
              <w:rPr>
                <w:rFonts w:ascii="Times New Roman" w:eastAsia="Calibri" w:hAnsi="Times New Roman"/>
              </w:rPr>
              <w:t xml:space="preserve"> -</w:t>
            </w:r>
            <w:r w:rsidR="00DE245E">
              <w:rPr>
                <w:rFonts w:ascii="Times New Roman" w:eastAsia="Calibri" w:hAnsi="Times New Roman"/>
              </w:rPr>
              <w:t xml:space="preserve"> не б</w:t>
            </w:r>
            <w:r w:rsidR="008B29A1">
              <w:rPr>
                <w:rFonts w:ascii="Times New Roman" w:eastAsia="Calibri" w:hAnsi="Times New Roman"/>
              </w:rPr>
              <w:t xml:space="preserve">олее </w:t>
            </w:r>
            <w:r w:rsidR="00373CD1" w:rsidRPr="00B6565E">
              <w:rPr>
                <w:rFonts w:ascii="Times New Roman" w:eastAsia="Calibri" w:hAnsi="Times New Roman"/>
              </w:rPr>
              <w:t xml:space="preserve">чем </w:t>
            </w:r>
            <w:r w:rsidR="005C0A6C" w:rsidRPr="00B6565E">
              <w:rPr>
                <w:rFonts w:ascii="Times New Roman" w:eastAsia="Calibri" w:hAnsi="Times New Roman"/>
              </w:rPr>
              <w:t>1</w:t>
            </w:r>
            <w:r w:rsidR="00B4713F" w:rsidRPr="00B6565E">
              <w:rPr>
                <w:rFonts w:ascii="Times New Roman" w:eastAsia="Calibri" w:hAnsi="Times New Roman"/>
              </w:rPr>
              <w:t>0</w:t>
            </w:r>
            <w:r w:rsidR="00373CD1" w:rsidRPr="00B6565E">
              <w:rPr>
                <w:rFonts w:ascii="Times New Roman" w:eastAsia="Calibri" w:hAnsi="Times New Roman"/>
              </w:rPr>
              <w:t>00 рублей</w:t>
            </w:r>
            <w:r w:rsidR="00CF6CC4" w:rsidRPr="00C14A36">
              <w:rPr>
                <w:rFonts w:ascii="Times New Roman" w:hAnsi="Times New Roman"/>
              </w:rPr>
              <w:t>;</w:t>
            </w:r>
          </w:p>
          <w:p w:rsidR="00CF6CC4" w:rsidRPr="00DD2DB1" w:rsidRDefault="00CF6CC4" w:rsidP="00CF6CC4">
            <w:pPr>
              <w:ind w:firstLine="540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:rsidR="00CF6CC4" w:rsidRPr="00B6565E" w:rsidRDefault="00CF6CC4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C665A9">
              <w:rPr>
                <w:rFonts w:ascii="Times New Roman" w:hAnsi="Times New Roman"/>
              </w:rPr>
              <w:t xml:space="preserve">для юридических лиц, которым держателем реестра открыт лицевой счет  номинального держателя, номинального держателя центрального депозитария, доверительного управляющего, - </w:t>
            </w:r>
            <w:r w:rsidR="005425E4">
              <w:rPr>
                <w:rFonts w:ascii="Times New Roman" w:eastAsia="Calibri" w:hAnsi="Times New Roman"/>
              </w:rPr>
              <w:t xml:space="preserve">не более </w:t>
            </w:r>
            <w:r w:rsidR="00373CD1">
              <w:rPr>
                <w:rFonts w:ascii="Times New Roman" w:eastAsia="Calibri" w:hAnsi="Times New Roman"/>
              </w:rPr>
              <w:t xml:space="preserve">чем </w:t>
            </w:r>
            <w:r w:rsidR="00B4713F">
              <w:rPr>
                <w:rFonts w:ascii="Times New Roman" w:eastAsia="Calibri" w:hAnsi="Times New Roman"/>
              </w:rPr>
              <w:t>25</w:t>
            </w:r>
            <w:r w:rsidR="005425E4">
              <w:rPr>
                <w:rFonts w:ascii="Times New Roman" w:eastAsia="Calibri" w:hAnsi="Times New Roman"/>
              </w:rPr>
              <w:t>00 рублей</w:t>
            </w:r>
            <w:r w:rsidR="005425E4" w:rsidRPr="005425E4">
              <w:rPr>
                <w:rFonts w:ascii="Times New Roman" w:hAnsi="Times New Roman"/>
              </w:rPr>
              <w:t xml:space="preserve"> </w:t>
            </w:r>
            <w:r w:rsidRPr="005425E4">
              <w:rPr>
                <w:rFonts w:ascii="Times New Roman" w:hAnsi="Times New Roman"/>
              </w:rPr>
              <w:t xml:space="preserve">при наличии </w:t>
            </w:r>
            <w:proofErr w:type="gramStart"/>
            <w:r w:rsidRPr="005425E4">
              <w:rPr>
                <w:rFonts w:ascii="Times New Roman" w:hAnsi="Times New Roman"/>
              </w:rPr>
              <w:t>договора страхования профессиональной ответственности профессионального участника рынка ценных бумаг</w:t>
            </w:r>
            <w:proofErr w:type="gramEnd"/>
            <w:r w:rsidRPr="005425E4">
              <w:rPr>
                <w:rFonts w:ascii="Times New Roman" w:hAnsi="Times New Roman"/>
              </w:rPr>
              <w:t xml:space="preserve"> или </w:t>
            </w:r>
            <w:r w:rsidR="00E20F59">
              <w:rPr>
                <w:rFonts w:ascii="Times New Roman" w:hAnsi="Times New Roman"/>
              </w:rPr>
              <w:t xml:space="preserve">не более чем </w:t>
            </w:r>
            <w:r w:rsidR="00B4713F">
              <w:rPr>
                <w:rFonts w:ascii="Times New Roman" w:hAnsi="Times New Roman"/>
              </w:rPr>
              <w:t xml:space="preserve"> 5</w:t>
            </w:r>
            <w:r w:rsidR="005425E4">
              <w:rPr>
                <w:rFonts w:ascii="Times New Roman" w:eastAsia="Calibri" w:hAnsi="Times New Roman"/>
              </w:rPr>
              <w:t xml:space="preserve">000 рублей </w:t>
            </w:r>
            <w:r w:rsidRPr="005425E4">
              <w:rPr>
                <w:rFonts w:ascii="Times New Roman" w:hAnsi="Times New Roman"/>
              </w:rPr>
              <w:t>при отсутствии договора страхования профессиональной ответственности профессионального участника рынка ценных бумаг.</w:t>
            </w:r>
          </w:p>
          <w:p w:rsidR="00B27564" w:rsidRPr="00D95B21" w:rsidRDefault="00B27564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</w:p>
          <w:p w:rsidR="00B27564" w:rsidRPr="00B27564" w:rsidRDefault="00B27564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Максимальная плата, взимаемая за внесение записей о списании с лицевого счета зарегистрированного лица и зачислении ценных бумаг на лицевой счет другого зарегистрированного лица </w:t>
            </w:r>
            <w:r w:rsidRPr="00B6565E">
              <w:rPr>
                <w:rFonts w:ascii="Times New Roman" w:hAnsi="Times New Roman"/>
                <w:b/>
              </w:rPr>
              <w:t>в результате наследования</w:t>
            </w:r>
            <w:r>
              <w:rPr>
                <w:rFonts w:ascii="Times New Roman" w:hAnsi="Times New Roman"/>
              </w:rPr>
              <w:t xml:space="preserve"> в совокупности за обе операции составляет</w:t>
            </w:r>
            <w:proofErr w:type="gramEnd"/>
            <w:r>
              <w:rPr>
                <w:rFonts w:ascii="Times New Roman" w:hAnsi="Times New Roman"/>
              </w:rPr>
              <w:t xml:space="preserve"> не </w:t>
            </w:r>
            <w:r w:rsidRPr="00B6565E">
              <w:rPr>
                <w:rFonts w:ascii="Times New Roman" w:hAnsi="Times New Roman"/>
              </w:rPr>
              <w:t xml:space="preserve">более </w:t>
            </w:r>
            <w:r w:rsidR="005C0A6C" w:rsidRPr="00B6565E">
              <w:rPr>
                <w:rFonts w:ascii="Times New Roman" w:hAnsi="Times New Roman"/>
              </w:rPr>
              <w:t>2</w:t>
            </w:r>
            <w:r w:rsidRPr="00B6565E">
              <w:rPr>
                <w:rFonts w:ascii="Times New Roman" w:hAnsi="Times New Roman"/>
              </w:rPr>
              <w:t>000</w:t>
            </w:r>
            <w:r w:rsidR="00B6565E">
              <w:rPr>
                <w:rFonts w:ascii="Times New Roman" w:hAnsi="Times New Roman"/>
              </w:rPr>
              <w:t xml:space="preserve"> рублей.</w:t>
            </w:r>
          </w:p>
          <w:p w:rsidR="00CF6CC4" w:rsidRPr="00DD2DB1" w:rsidRDefault="00CF6CC4" w:rsidP="00CF6CC4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:rsidR="00CF6CC4" w:rsidRPr="00EE06EC" w:rsidRDefault="00CF6CC4" w:rsidP="00CF6CC4">
            <w:pPr>
              <w:ind w:firstLine="459"/>
              <w:contextualSpacing/>
              <w:jc w:val="both"/>
              <w:rPr>
                <w:rFonts w:ascii="Times New Roman" w:hAnsi="Times New Roman"/>
              </w:rPr>
            </w:pPr>
            <w:r w:rsidRPr="00EE06EC">
              <w:rPr>
                <w:rFonts w:ascii="Times New Roman" w:hAnsi="Times New Roman"/>
              </w:rPr>
              <w:t xml:space="preserve">Максимальная плата, взимаемая держателем реестра с зарегистрированных лиц за предоставление зарегистрированному лицу по его требованию выписки из реестра по его лицевому счету или справки о наличии на счёте определённого количества ценных бумаг, или отчёта </w:t>
            </w:r>
            <w:r w:rsidRPr="00EE06EC">
              <w:rPr>
                <w:rFonts w:ascii="Times New Roman" w:hAnsi="Times New Roman"/>
              </w:rPr>
              <w:lastRenderedPageBreak/>
              <w:t>(уведомления) о совершении операции по лицевому счету, составляет следующую величину:</w:t>
            </w:r>
          </w:p>
          <w:p w:rsidR="00CF6CC4" w:rsidRPr="00DD2DB1" w:rsidRDefault="00CF6CC4" w:rsidP="00CF6CC4">
            <w:pPr>
              <w:ind w:firstLine="540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  <w:p w:rsidR="00CF6CC4" w:rsidRPr="00C665A9" w:rsidRDefault="00C665A9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физических лиц</w:t>
            </w:r>
            <w:r w:rsidR="00DE245E" w:rsidRPr="00DE245E">
              <w:rPr>
                <w:rFonts w:ascii="Times New Roman" w:hAnsi="Times New Roman"/>
              </w:rPr>
              <w:t xml:space="preserve"> - </w:t>
            </w:r>
            <w:r w:rsidR="00DE245E">
              <w:rPr>
                <w:rFonts w:ascii="Times New Roman" w:eastAsia="Calibri" w:hAnsi="Times New Roman"/>
              </w:rPr>
              <w:t xml:space="preserve">не более </w:t>
            </w:r>
            <w:r w:rsidR="00373CD1">
              <w:rPr>
                <w:rFonts w:ascii="Times New Roman" w:eastAsia="Calibri" w:hAnsi="Times New Roman"/>
              </w:rPr>
              <w:t>3</w:t>
            </w:r>
            <w:r w:rsidR="00B4713F">
              <w:rPr>
                <w:rFonts w:ascii="Times New Roman" w:eastAsia="Calibri" w:hAnsi="Times New Roman"/>
              </w:rPr>
              <w:t>0</w:t>
            </w:r>
            <w:r w:rsidR="00373CD1">
              <w:rPr>
                <w:rFonts w:ascii="Times New Roman" w:eastAsia="Calibri" w:hAnsi="Times New Roman"/>
              </w:rPr>
              <w:t>0</w:t>
            </w:r>
            <w:r w:rsidR="00DE245E">
              <w:rPr>
                <w:rFonts w:ascii="Times New Roman" w:eastAsia="Calibri" w:hAnsi="Times New Roman"/>
              </w:rPr>
              <w:t xml:space="preserve"> рублей</w:t>
            </w:r>
            <w:r w:rsidRPr="00C665A9">
              <w:rPr>
                <w:rFonts w:ascii="Times New Roman" w:hAnsi="Times New Roman"/>
              </w:rPr>
              <w:t>;</w:t>
            </w:r>
          </w:p>
          <w:p w:rsidR="00C665A9" w:rsidRDefault="00C665A9" w:rsidP="00C665A9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</w:p>
          <w:p w:rsidR="00C665A9" w:rsidRPr="00C665A9" w:rsidRDefault="00C665A9" w:rsidP="00C665A9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юридических лиц</w:t>
            </w:r>
            <w:r w:rsidRPr="00DE245E">
              <w:rPr>
                <w:rFonts w:ascii="Times New Roman" w:hAnsi="Times New Roman"/>
              </w:rPr>
              <w:t xml:space="preserve"> </w:t>
            </w:r>
            <w:r w:rsidR="00373CD1">
              <w:rPr>
                <w:rFonts w:ascii="Times New Roman" w:hAnsi="Times New Roman"/>
              </w:rPr>
              <w:t>–</w:t>
            </w:r>
            <w:r w:rsidRPr="00DE245E">
              <w:rPr>
                <w:rFonts w:ascii="Times New Roman" w:hAnsi="Times New Roman"/>
              </w:rPr>
              <w:t xml:space="preserve"> </w:t>
            </w:r>
            <w:r w:rsidR="00373CD1">
              <w:rPr>
                <w:rFonts w:ascii="Times New Roman" w:hAnsi="Times New Roman"/>
              </w:rPr>
              <w:t>не более чем 600 рублей</w:t>
            </w:r>
            <w:r w:rsidRPr="00C665A9">
              <w:rPr>
                <w:rFonts w:ascii="Times New Roman" w:hAnsi="Times New Roman"/>
              </w:rPr>
              <w:t>.</w:t>
            </w:r>
          </w:p>
          <w:p w:rsidR="00C665A9" w:rsidRPr="00C665A9" w:rsidRDefault="00C665A9" w:rsidP="00CF6CC4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</w:p>
          <w:p w:rsidR="00CF6CC4" w:rsidRDefault="00CF6CC4" w:rsidP="00CF6CC4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EE06EC">
              <w:rPr>
                <w:rFonts w:ascii="Times New Roman" w:hAnsi="Times New Roman"/>
              </w:rPr>
              <w:t xml:space="preserve">Максимальная плата, взимаемая держателем реестра с зарегистрированных лиц в случаях, указанных в </w:t>
            </w:r>
            <w:r w:rsidR="00373CD1">
              <w:rPr>
                <w:rFonts w:ascii="Times New Roman" w:hAnsi="Times New Roman"/>
              </w:rPr>
              <w:t xml:space="preserve">абзацах </w:t>
            </w:r>
            <w:r w:rsidR="00B53814">
              <w:rPr>
                <w:rFonts w:ascii="Times New Roman" w:hAnsi="Times New Roman"/>
              </w:rPr>
              <w:t xml:space="preserve">2, </w:t>
            </w:r>
            <w:r w:rsidR="00373CD1">
              <w:rPr>
                <w:rFonts w:ascii="Times New Roman" w:hAnsi="Times New Roman"/>
              </w:rPr>
              <w:t xml:space="preserve">3 </w:t>
            </w:r>
            <w:r w:rsidR="00B53814">
              <w:rPr>
                <w:rFonts w:ascii="Times New Roman" w:hAnsi="Times New Roman"/>
              </w:rPr>
              <w:t xml:space="preserve">5, </w:t>
            </w:r>
            <w:r w:rsidR="00373CD1">
              <w:rPr>
                <w:rFonts w:ascii="Times New Roman" w:hAnsi="Times New Roman"/>
              </w:rPr>
              <w:t>6</w:t>
            </w:r>
            <w:r w:rsidR="00BE1267">
              <w:rPr>
                <w:rFonts w:ascii="Times New Roman" w:hAnsi="Times New Roman"/>
              </w:rPr>
              <w:t>,</w:t>
            </w:r>
            <w:r w:rsidR="00B6565E">
              <w:rPr>
                <w:rFonts w:ascii="Times New Roman" w:hAnsi="Times New Roman"/>
              </w:rPr>
              <w:t xml:space="preserve"> </w:t>
            </w:r>
            <w:r w:rsidR="00BE1267">
              <w:rPr>
                <w:rFonts w:ascii="Times New Roman" w:hAnsi="Times New Roman"/>
              </w:rPr>
              <w:t>7</w:t>
            </w:r>
            <w:r w:rsidR="00373CD1">
              <w:rPr>
                <w:rFonts w:ascii="Times New Roman" w:hAnsi="Times New Roman"/>
              </w:rPr>
              <w:t xml:space="preserve"> настоящего </w:t>
            </w:r>
            <w:r w:rsidR="00B4713F">
              <w:rPr>
                <w:rFonts w:ascii="Times New Roman" w:hAnsi="Times New Roman"/>
              </w:rPr>
              <w:t>Указания</w:t>
            </w:r>
            <w:r w:rsidRPr="00EE06EC">
              <w:rPr>
                <w:rFonts w:ascii="Times New Roman" w:hAnsi="Times New Roman"/>
              </w:rPr>
              <w:t xml:space="preserve">, </w:t>
            </w:r>
            <w:r w:rsidR="00DA5B0A" w:rsidRPr="00B4713F">
              <w:rPr>
                <w:rFonts w:ascii="Times New Roman" w:hAnsi="Times New Roman"/>
                <w:b/>
              </w:rPr>
              <w:t>должна</w:t>
            </w:r>
            <w:r w:rsidRPr="00B4713F">
              <w:rPr>
                <w:rFonts w:ascii="Times New Roman" w:hAnsi="Times New Roman"/>
                <w:b/>
              </w:rPr>
              <w:t xml:space="preserve"> быть снижена не менее чем вдвое при электронном взаимодействии зарегистрированных лиц с держателем реестра</w:t>
            </w:r>
            <w:r w:rsidRPr="00EE06EC">
              <w:rPr>
                <w:rFonts w:ascii="Times New Roman" w:hAnsi="Times New Roman"/>
              </w:rPr>
              <w:t xml:space="preserve"> </w:t>
            </w:r>
            <w:r w:rsidR="00B27564">
              <w:rPr>
                <w:rFonts w:ascii="Times New Roman" w:hAnsi="Times New Roman"/>
              </w:rPr>
              <w:t xml:space="preserve"> </w:t>
            </w:r>
            <w:r w:rsidRPr="00EE06EC">
              <w:rPr>
                <w:rFonts w:ascii="Times New Roman" w:hAnsi="Times New Roman"/>
              </w:rPr>
              <w:t>(в том числе с использованием информационно-телекоммуникационной сети «Интернет») в порядке, установленном правилами ведения реестра или правилами корпоративной информационной системы (платформы) или информационной системы (платформы) коллективного</w:t>
            </w:r>
            <w:proofErr w:type="gramEnd"/>
            <w:r w:rsidRPr="00EE06EC">
              <w:rPr>
                <w:rFonts w:ascii="Times New Roman" w:hAnsi="Times New Roman"/>
              </w:rPr>
              <w:t xml:space="preserve"> пользования</w:t>
            </w:r>
            <w:r w:rsidR="00E20F59">
              <w:rPr>
                <w:rFonts w:ascii="Times New Roman" w:hAnsi="Times New Roman"/>
              </w:rPr>
              <w:t xml:space="preserve"> держателей реестра</w:t>
            </w:r>
            <w:r w:rsidRPr="00EE06EC">
              <w:rPr>
                <w:rFonts w:ascii="Times New Roman" w:hAnsi="Times New Roman"/>
              </w:rPr>
              <w:t>.</w:t>
            </w:r>
          </w:p>
          <w:p w:rsidR="005425E4" w:rsidRDefault="005425E4" w:rsidP="00CF6CC4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336C1A" w:rsidRPr="00C15EB7" w:rsidRDefault="00B27564" w:rsidP="00B27564">
            <w:pPr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Максимальная п</w:t>
            </w:r>
            <w:r w:rsidR="00336C1A" w:rsidRPr="00EE06EC">
              <w:rPr>
                <w:rFonts w:ascii="Times New Roman" w:hAnsi="Times New Roman"/>
              </w:rPr>
              <w:t xml:space="preserve">лата, взимаемая держателем реестра с зарегистрированных лиц в случаях, указанных </w:t>
            </w:r>
            <w:r w:rsidR="00373CD1" w:rsidRPr="00EE06EC">
              <w:rPr>
                <w:rFonts w:ascii="Times New Roman" w:hAnsi="Times New Roman"/>
              </w:rPr>
              <w:t xml:space="preserve">в </w:t>
            </w:r>
            <w:r w:rsidR="00373CD1">
              <w:rPr>
                <w:rFonts w:ascii="Times New Roman" w:hAnsi="Times New Roman"/>
              </w:rPr>
              <w:t xml:space="preserve">абзацах </w:t>
            </w:r>
            <w:r w:rsidR="00B53814">
              <w:rPr>
                <w:rFonts w:ascii="Times New Roman" w:hAnsi="Times New Roman"/>
              </w:rPr>
              <w:t xml:space="preserve">2, </w:t>
            </w:r>
            <w:r w:rsidR="00373CD1">
              <w:rPr>
                <w:rFonts w:ascii="Times New Roman" w:hAnsi="Times New Roman"/>
              </w:rPr>
              <w:t>3</w:t>
            </w:r>
            <w:r w:rsidR="00B53814">
              <w:rPr>
                <w:rFonts w:ascii="Times New Roman" w:hAnsi="Times New Roman"/>
              </w:rPr>
              <w:t>,</w:t>
            </w:r>
            <w:r w:rsidR="00D95B21">
              <w:rPr>
                <w:rFonts w:ascii="Times New Roman" w:hAnsi="Times New Roman"/>
              </w:rPr>
              <w:t xml:space="preserve"> 4,</w:t>
            </w:r>
            <w:r w:rsidR="00373CD1">
              <w:rPr>
                <w:rFonts w:ascii="Times New Roman" w:hAnsi="Times New Roman"/>
              </w:rPr>
              <w:t xml:space="preserve"> </w:t>
            </w:r>
            <w:r w:rsidR="00B53814">
              <w:rPr>
                <w:rFonts w:ascii="Times New Roman" w:hAnsi="Times New Roman"/>
              </w:rPr>
              <w:t>5,</w:t>
            </w:r>
            <w:r w:rsidR="00373CD1">
              <w:rPr>
                <w:rFonts w:ascii="Times New Roman" w:hAnsi="Times New Roman"/>
              </w:rPr>
              <w:t xml:space="preserve"> 6</w:t>
            </w:r>
            <w:r w:rsidR="00D95B21">
              <w:rPr>
                <w:rFonts w:ascii="Times New Roman" w:hAnsi="Times New Roman"/>
              </w:rPr>
              <w:t>, 7</w:t>
            </w:r>
            <w:r w:rsidR="00373CD1">
              <w:rPr>
                <w:rFonts w:ascii="Times New Roman" w:hAnsi="Times New Roman"/>
              </w:rPr>
              <w:t xml:space="preserve"> настоящего </w:t>
            </w:r>
            <w:r w:rsidR="00B4713F">
              <w:rPr>
                <w:rFonts w:ascii="Times New Roman" w:hAnsi="Times New Roman"/>
              </w:rPr>
              <w:t>Указания</w:t>
            </w:r>
            <w:r w:rsidR="00336C1A" w:rsidRPr="00EE06EC">
              <w:rPr>
                <w:rFonts w:ascii="Times New Roman" w:hAnsi="Times New Roman"/>
              </w:rPr>
              <w:t xml:space="preserve">, </w:t>
            </w:r>
            <w:r w:rsidR="00336C1A" w:rsidRPr="00B4713F">
              <w:rPr>
                <w:rFonts w:ascii="Times New Roman" w:hAnsi="Times New Roman"/>
                <w:b/>
              </w:rPr>
              <w:t xml:space="preserve">может быть проиндексирована </w:t>
            </w:r>
            <w:r w:rsidR="00DA5B0A" w:rsidRPr="00B4713F">
              <w:rPr>
                <w:rFonts w:ascii="Times New Roman" w:hAnsi="Times New Roman"/>
                <w:b/>
              </w:rPr>
              <w:t xml:space="preserve">держателем реестра </w:t>
            </w:r>
            <w:r w:rsidR="00336C1A" w:rsidRPr="00B4713F">
              <w:rPr>
                <w:rFonts w:ascii="Times New Roman" w:hAnsi="Times New Roman"/>
                <w:b/>
              </w:rPr>
              <w:t xml:space="preserve">на величину индекса потребительских цен </w:t>
            </w:r>
            <w:r w:rsidR="00DA5B0A" w:rsidRPr="00B4713F">
              <w:rPr>
                <w:rFonts w:ascii="Times New Roman" w:hAnsi="Times New Roman"/>
                <w:b/>
              </w:rPr>
              <w:t>за</w:t>
            </w:r>
            <w:r w:rsidR="00336C1A" w:rsidRPr="00B4713F">
              <w:rPr>
                <w:rFonts w:ascii="Times New Roman" w:hAnsi="Times New Roman"/>
                <w:b/>
              </w:rPr>
              <w:t xml:space="preserve"> услуги</w:t>
            </w:r>
            <w:r w:rsidR="0067309B" w:rsidRPr="00B4713F">
              <w:rPr>
                <w:rFonts w:ascii="Times New Roman" w:hAnsi="Times New Roman"/>
                <w:b/>
              </w:rPr>
              <w:t>,</w:t>
            </w:r>
            <w:r w:rsidR="00336C1A" w:rsidRPr="00B4713F">
              <w:rPr>
                <w:rFonts w:ascii="Times New Roman" w:hAnsi="Times New Roman"/>
                <w:b/>
              </w:rPr>
              <w:t xml:space="preserve"> </w:t>
            </w:r>
            <w:r w:rsidR="00DA5B0A" w:rsidRPr="00B4713F">
              <w:rPr>
                <w:rFonts w:ascii="Times New Roman" w:hAnsi="Times New Roman"/>
                <w:b/>
              </w:rPr>
              <w:t>размещ</w:t>
            </w:r>
            <w:r w:rsidR="0067309B" w:rsidRPr="00B4713F">
              <w:rPr>
                <w:rFonts w:ascii="Times New Roman" w:hAnsi="Times New Roman"/>
                <w:b/>
              </w:rPr>
              <w:t>аемого</w:t>
            </w:r>
            <w:r w:rsidR="00DA5B0A" w:rsidRPr="00B4713F">
              <w:rPr>
                <w:rFonts w:ascii="Times New Roman" w:hAnsi="Times New Roman"/>
                <w:b/>
              </w:rPr>
              <w:t xml:space="preserve"> в Единой межведомственной информационно-статистической системе (ЕМИСС) по адресу http://www.fedstat.ru</w:t>
            </w:r>
            <w:r w:rsidR="0067309B" w:rsidRPr="00B4713F">
              <w:rPr>
                <w:rFonts w:ascii="Times New Roman" w:hAnsi="Times New Roman"/>
                <w:b/>
              </w:rPr>
              <w:t>, за период с момента установления тарифа в соответствии с данным Указанием или предыдущей индексации.</w:t>
            </w:r>
            <w:proofErr w:type="gramEnd"/>
          </w:p>
        </w:tc>
      </w:tr>
      <w:tr w:rsidR="00CF6CC4" w:rsidRPr="00C15EB7" w:rsidTr="00BB7F58">
        <w:trPr>
          <w:trHeight w:val="675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E01787" w:rsidRDefault="00CF6CC4" w:rsidP="00BB7F58">
            <w:pPr>
              <w:spacing w:before="220"/>
              <w:ind w:firstLine="540"/>
              <w:jc w:val="both"/>
              <w:rPr>
                <w:rFonts w:ascii="Times New Roman" w:hAnsi="Times New Roman"/>
                <w:b/>
              </w:rPr>
            </w:pPr>
            <w:r w:rsidRPr="00E01787">
              <w:rPr>
                <w:rFonts w:ascii="Times New Roman" w:hAnsi="Times New Roman"/>
                <w:b/>
              </w:rPr>
              <w:lastRenderedPageBreak/>
              <w:t>Федеральный закон от 22.04.1996 N 39-ФЗ (ред. от 27.12.2019, с изм. от 07.04.2020) "О рынке ценных бумаг" (с изм. и доп., вступ. в силу с 28.03.2020)</w:t>
            </w:r>
          </w:p>
        </w:tc>
      </w:tr>
      <w:tr w:rsidR="00CF6CC4" w:rsidRPr="00C15EB7" w:rsidTr="00BB7F5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DD2DB1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DD2DB1">
              <w:rPr>
                <w:rFonts w:ascii="Times New Roman" w:hAnsi="Times New Roman"/>
                <w:b/>
                <w:bCs/>
              </w:rPr>
              <w:t>Статья 8. Деятельность по ведению реестра владельцев ценных бумаг</w:t>
            </w:r>
          </w:p>
          <w:p w:rsidR="00CF6CC4" w:rsidRPr="00E01787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E01787">
              <w:rPr>
                <w:rFonts w:ascii="Times New Roman" w:hAnsi="Times New Roman"/>
              </w:rPr>
              <w:t xml:space="preserve">3.7. Держатель реестра имеет право взимать с зарегистрированных лиц плату за проведение операций по лицевым счетам и за предоставление информации из реестра. </w:t>
            </w:r>
            <w:r w:rsidRPr="00B4713F">
              <w:rPr>
                <w:rFonts w:ascii="Times New Roman" w:hAnsi="Times New Roman"/>
                <w:u w:val="single"/>
              </w:rPr>
              <w:t>Держатель реестра не вправе взимать плату в виде процента от стоимости ценных бумаг, в отношении которых проводится операция по лицевому счету</w:t>
            </w:r>
            <w:r w:rsidRPr="00E01787">
              <w:rPr>
                <w:rFonts w:ascii="Times New Roman" w:hAnsi="Times New Roman"/>
              </w:rPr>
              <w:t xml:space="preserve">. </w:t>
            </w:r>
            <w:hyperlink r:id="rId10" w:history="1">
              <w:r w:rsidRPr="00B4713F">
                <w:rPr>
                  <w:rFonts w:ascii="Times New Roman" w:hAnsi="Times New Roman"/>
                </w:rPr>
                <w:t>Максимальная плата</w:t>
              </w:r>
            </w:hyperlink>
            <w:r w:rsidRPr="00B4713F">
              <w:rPr>
                <w:rFonts w:ascii="Times New Roman" w:hAnsi="Times New Roman"/>
              </w:rPr>
              <w:t>, взимаемая держателем реестра с зарегистрированных лиц</w:t>
            </w:r>
            <w:r w:rsidRPr="00B4713F">
              <w:rPr>
                <w:rFonts w:ascii="Times New Roman" w:hAnsi="Times New Roman"/>
                <w:u w:val="single"/>
              </w:rPr>
              <w:t xml:space="preserve"> за проведение операций по лицевым счетам и за предоставление информации из реестра,</w:t>
            </w:r>
            <w:r w:rsidRPr="00E01787">
              <w:rPr>
                <w:rFonts w:ascii="Times New Roman" w:hAnsi="Times New Roman"/>
              </w:rPr>
              <w:t xml:space="preserve"> и (или) порядок ее определения устанавливаются Банком России.</w:t>
            </w:r>
          </w:p>
          <w:p w:rsidR="00CF6CC4" w:rsidRPr="00E01787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E01787">
              <w:rPr>
                <w:rFonts w:ascii="Times New Roman" w:hAnsi="Times New Roman"/>
              </w:rPr>
              <w:t>При размещении ценных бумаг выписка из реестра предоставляется владельцу ценных бумаг бесплатно.</w:t>
            </w:r>
          </w:p>
          <w:p w:rsidR="00CF6CC4" w:rsidRPr="00E01787" w:rsidRDefault="00CF6CC4" w:rsidP="00E01787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E01787">
              <w:rPr>
                <w:rFonts w:ascii="Times New Roman" w:hAnsi="Times New Roman"/>
              </w:rPr>
              <w:t xml:space="preserve">(п. 3.7 введен Федеральным </w:t>
            </w:r>
            <w:hyperlink r:id="rId11" w:history="1">
              <w:r w:rsidRPr="00E01787">
                <w:rPr>
                  <w:rFonts w:ascii="Times New Roman" w:hAnsi="Times New Roman"/>
                </w:rPr>
                <w:t>законом</w:t>
              </w:r>
            </w:hyperlink>
            <w:r w:rsidRPr="00E01787">
              <w:rPr>
                <w:rFonts w:ascii="Times New Roman" w:hAnsi="Times New Roman"/>
              </w:rPr>
              <w:t xml:space="preserve"> от 29.06.2015 N 210-ФЗ)</w:t>
            </w:r>
          </w:p>
          <w:p w:rsidR="00CF6CC4" w:rsidRPr="00C15EB7" w:rsidRDefault="00CF6CC4">
            <w:pPr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C4" w:rsidRPr="00BB7F58" w:rsidRDefault="00CF6CC4" w:rsidP="002C180B">
            <w:pPr>
              <w:spacing w:before="220"/>
              <w:ind w:firstLine="540"/>
              <w:jc w:val="both"/>
              <w:rPr>
                <w:rFonts w:ascii="Times New Roman" w:hAnsi="Times New Roman"/>
                <w:b/>
                <w:bCs/>
              </w:rPr>
            </w:pPr>
            <w:r w:rsidRPr="00DD2DB1">
              <w:rPr>
                <w:rFonts w:ascii="Times New Roman" w:hAnsi="Times New Roman"/>
                <w:b/>
                <w:bCs/>
              </w:rPr>
              <w:t>Статья 8. Деятельность по ведению реестра владельцев ценных бумаг</w:t>
            </w:r>
          </w:p>
          <w:p w:rsidR="00CF6CC4" w:rsidRPr="00DD2DB1" w:rsidRDefault="00CF6CC4" w:rsidP="00BB7F58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BB7F58">
              <w:rPr>
                <w:rFonts w:ascii="Times New Roman" w:hAnsi="Times New Roman"/>
                <w:bCs/>
              </w:rPr>
              <w:t>3.7. Держатель реестра имеет право взимать с зарегистрированных лиц плату за</w:t>
            </w:r>
            <w:r w:rsidRPr="00DD2DB1">
              <w:rPr>
                <w:rFonts w:ascii="Times New Roman" w:hAnsi="Times New Roman"/>
              </w:rPr>
              <w:t xml:space="preserve"> проведение операций по лицевым счетам и за предоставление информации из реестра. </w:t>
            </w:r>
            <w:hyperlink r:id="rId12" w:history="1">
              <w:r w:rsidRPr="00E01787">
                <w:rPr>
                  <w:rFonts w:ascii="Times New Roman" w:hAnsi="Times New Roman"/>
                </w:rPr>
                <w:t>Максимальная плата</w:t>
              </w:r>
            </w:hyperlink>
            <w:r w:rsidRPr="00E01787">
              <w:rPr>
                <w:rFonts w:ascii="Times New Roman" w:hAnsi="Times New Roman"/>
              </w:rPr>
              <w:t xml:space="preserve">, взимаемая держателем реестра с зарегистрированных лиц </w:t>
            </w:r>
            <w:r w:rsidRPr="00B4713F">
              <w:rPr>
                <w:rFonts w:ascii="Times New Roman" w:hAnsi="Times New Roman"/>
                <w:b/>
              </w:rPr>
              <w:t xml:space="preserve">за </w:t>
            </w:r>
            <w:r w:rsidR="00E20F59" w:rsidRPr="00B4713F">
              <w:rPr>
                <w:rFonts w:ascii="Times New Roman" w:hAnsi="Times New Roman"/>
                <w:b/>
              </w:rPr>
              <w:t xml:space="preserve">предоставление </w:t>
            </w:r>
            <w:r w:rsidR="00B4713F">
              <w:rPr>
                <w:rFonts w:ascii="Times New Roman" w:hAnsi="Times New Roman"/>
                <w:b/>
              </w:rPr>
              <w:t>им</w:t>
            </w:r>
            <w:r w:rsidR="00E20F59" w:rsidRPr="00B4713F">
              <w:rPr>
                <w:rFonts w:ascii="Times New Roman" w:hAnsi="Times New Roman"/>
                <w:b/>
              </w:rPr>
              <w:t xml:space="preserve">  информации с их лицевых счетов</w:t>
            </w:r>
            <w:r w:rsidR="00C27324">
              <w:rPr>
                <w:rFonts w:ascii="Times New Roman" w:hAnsi="Times New Roman"/>
                <w:b/>
              </w:rPr>
              <w:t>, при наследовании ценных бумаг</w:t>
            </w:r>
            <w:r w:rsidR="00E20F59" w:rsidRPr="00B4713F">
              <w:rPr>
                <w:rFonts w:ascii="Times New Roman" w:hAnsi="Times New Roman"/>
                <w:b/>
              </w:rPr>
              <w:t xml:space="preserve"> </w:t>
            </w:r>
            <w:r w:rsidR="00F72662">
              <w:rPr>
                <w:rFonts w:ascii="Times New Roman" w:hAnsi="Times New Roman"/>
                <w:b/>
              </w:rPr>
              <w:t>и</w:t>
            </w:r>
            <w:r w:rsidR="00E20F59" w:rsidRPr="00B4713F">
              <w:rPr>
                <w:rFonts w:ascii="Times New Roman" w:hAnsi="Times New Roman"/>
                <w:b/>
              </w:rPr>
              <w:t xml:space="preserve"> </w:t>
            </w:r>
            <w:r w:rsidR="00B4713F">
              <w:rPr>
                <w:rFonts w:ascii="Times New Roman" w:hAnsi="Times New Roman"/>
                <w:b/>
              </w:rPr>
              <w:t xml:space="preserve">за проведение </w:t>
            </w:r>
            <w:r w:rsidR="00E20F59" w:rsidRPr="00B4713F">
              <w:rPr>
                <w:rFonts w:ascii="Times New Roman" w:hAnsi="Times New Roman"/>
                <w:b/>
              </w:rPr>
              <w:t>операций с участием номинального держателя в реестре, не связанных</w:t>
            </w:r>
            <w:r w:rsidR="00B4713F" w:rsidRPr="00B4713F">
              <w:rPr>
                <w:rFonts w:ascii="Times New Roman" w:hAnsi="Times New Roman"/>
                <w:b/>
              </w:rPr>
              <w:t xml:space="preserve"> с переходом прав собственности на ценные бумаги </w:t>
            </w:r>
            <w:r w:rsidR="00B4713F">
              <w:rPr>
                <w:rFonts w:ascii="Times New Roman" w:hAnsi="Times New Roman"/>
              </w:rPr>
              <w:t xml:space="preserve"> </w:t>
            </w:r>
            <w:r w:rsidRPr="00E01787">
              <w:rPr>
                <w:rFonts w:ascii="Times New Roman" w:hAnsi="Times New Roman"/>
              </w:rPr>
              <w:t xml:space="preserve"> и (или) порядок ее определения устанавливаются Банком России</w:t>
            </w:r>
            <w:r>
              <w:rPr>
                <w:rFonts w:ascii="Times New Roman" w:hAnsi="Times New Roman"/>
              </w:rPr>
              <w:t>.</w:t>
            </w:r>
          </w:p>
          <w:p w:rsidR="00CF6CC4" w:rsidRPr="00DD2DB1" w:rsidRDefault="00CF6CC4" w:rsidP="00BB7F58">
            <w:pPr>
              <w:spacing w:before="220"/>
              <w:ind w:firstLine="540"/>
              <w:jc w:val="both"/>
              <w:rPr>
                <w:rFonts w:ascii="Times New Roman" w:hAnsi="Times New Roman"/>
              </w:rPr>
            </w:pPr>
            <w:r w:rsidRPr="00DD2DB1">
              <w:rPr>
                <w:rFonts w:ascii="Times New Roman" w:hAnsi="Times New Roman"/>
              </w:rPr>
              <w:t>При размещении ценных бумаг выписка из реестра предоставляется владельцу ценных бумаг бесплатно.</w:t>
            </w:r>
          </w:p>
          <w:p w:rsidR="00CF6CC4" w:rsidRPr="00DD2DB1" w:rsidRDefault="00CF6CC4" w:rsidP="00DD2DB1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</w:p>
          <w:p w:rsidR="00CF6CC4" w:rsidRPr="00DD2DB1" w:rsidRDefault="00CF6CC4" w:rsidP="00DD2DB1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FE433B" w:rsidRPr="00556363" w:rsidRDefault="00FE433B" w:rsidP="004C203F">
      <w:pPr>
        <w:spacing w:before="120" w:line="360" w:lineRule="auto"/>
        <w:ind w:firstLine="284"/>
        <w:jc w:val="both"/>
        <w:rPr>
          <w:rFonts w:ascii="Times New Roman" w:hAnsi="Times New Roman"/>
          <w:i/>
        </w:rPr>
      </w:pPr>
    </w:p>
    <w:p w:rsidR="00556363" w:rsidRPr="00556363" w:rsidRDefault="00556363" w:rsidP="004C203F">
      <w:pPr>
        <w:spacing w:before="120" w:line="360" w:lineRule="auto"/>
        <w:ind w:firstLine="284"/>
        <w:jc w:val="both"/>
        <w:rPr>
          <w:rFonts w:ascii="Times New Roman" w:hAnsi="Times New Roman"/>
        </w:rPr>
      </w:pPr>
    </w:p>
    <w:sectPr w:rsidR="00556363" w:rsidRPr="00556363" w:rsidSect="00556363">
      <w:headerReference w:type="even" r:id="rId13"/>
      <w:footerReference w:type="default" r:id="rId14"/>
      <w:pgSz w:w="11580" w:h="12945" w:orient="landscape" w:code="9"/>
      <w:pgMar w:top="360" w:right="360" w:bottom="360" w:left="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B8" w:rsidRDefault="003D3CB8" w:rsidP="00830114">
      <w:r>
        <w:separator/>
      </w:r>
    </w:p>
  </w:endnote>
  <w:endnote w:type="continuationSeparator" w:id="0">
    <w:p w:rsidR="003D3CB8" w:rsidRDefault="003D3CB8" w:rsidP="0083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63" w:rsidRDefault="00556363">
    <w:pPr>
      <w:pStyle w:val="a5"/>
      <w:jc w:val="right"/>
    </w:pPr>
  </w:p>
  <w:p w:rsidR="00556363" w:rsidRDefault="005563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B8" w:rsidRDefault="003D3CB8" w:rsidP="00830114">
      <w:r>
        <w:separator/>
      </w:r>
    </w:p>
  </w:footnote>
  <w:footnote w:type="continuationSeparator" w:id="0">
    <w:p w:rsidR="003D3CB8" w:rsidRDefault="003D3CB8" w:rsidP="0083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14" w:rsidRDefault="00370EBE">
    <w:pPr>
      <w:pStyle w:val="a3"/>
    </w:pPr>
    <w:r>
      <w:rPr>
        <w:noProof/>
        <w:lang w:eastAsia="ru-RU"/>
      </w:rPr>
      <w:pict w14:anchorId="5F899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842922" o:spid="_x0000_s2050" type="#_x0000_t75" style="position:absolute;margin-left:0;margin-top:0;width:566.9pt;height:774.95pt;z-index:-251658752;mso-position-horizontal:center;mso-position-horizontal-relative:margin;mso-position-vertical:center;mso-position-vertical-relative:margin" o:allowincell="f">
          <v:imagedata r:id="rId1" o:title="Бланк2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битов Роман Георгиевич">
    <w15:presenceInfo w15:providerId="AD" w15:userId="S-1-5-21-256510306-1396124132-1902644107-3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3F"/>
    <w:rsid w:val="000408F9"/>
    <w:rsid w:val="00043E94"/>
    <w:rsid w:val="000B1847"/>
    <w:rsid w:val="000D0773"/>
    <w:rsid w:val="00143373"/>
    <w:rsid w:val="00172C77"/>
    <w:rsid w:val="001E06C2"/>
    <w:rsid w:val="001E68A8"/>
    <w:rsid w:val="001E76F7"/>
    <w:rsid w:val="00221A48"/>
    <w:rsid w:val="002A03BE"/>
    <w:rsid w:val="002C180B"/>
    <w:rsid w:val="002F09BC"/>
    <w:rsid w:val="00315CD8"/>
    <w:rsid w:val="00332A2C"/>
    <w:rsid w:val="00336C1A"/>
    <w:rsid w:val="0035245D"/>
    <w:rsid w:val="00370EBE"/>
    <w:rsid w:val="00373CD1"/>
    <w:rsid w:val="0037407E"/>
    <w:rsid w:val="003D39F7"/>
    <w:rsid w:val="003D3CB8"/>
    <w:rsid w:val="00420D9F"/>
    <w:rsid w:val="00432E73"/>
    <w:rsid w:val="00447B2A"/>
    <w:rsid w:val="00450E4D"/>
    <w:rsid w:val="004647A6"/>
    <w:rsid w:val="004875AF"/>
    <w:rsid w:val="00491A25"/>
    <w:rsid w:val="004C203F"/>
    <w:rsid w:val="004D0F10"/>
    <w:rsid w:val="005044E7"/>
    <w:rsid w:val="00523FD8"/>
    <w:rsid w:val="00532FDE"/>
    <w:rsid w:val="005425E4"/>
    <w:rsid w:val="00556363"/>
    <w:rsid w:val="005A27EF"/>
    <w:rsid w:val="005A7172"/>
    <w:rsid w:val="005C0A6C"/>
    <w:rsid w:val="005E2CD3"/>
    <w:rsid w:val="005F14B7"/>
    <w:rsid w:val="005F2DEA"/>
    <w:rsid w:val="006020C4"/>
    <w:rsid w:val="00636580"/>
    <w:rsid w:val="00652329"/>
    <w:rsid w:val="00655C88"/>
    <w:rsid w:val="006668F8"/>
    <w:rsid w:val="00673001"/>
    <w:rsid w:val="0067309B"/>
    <w:rsid w:val="006A0F65"/>
    <w:rsid w:val="006B44FE"/>
    <w:rsid w:val="006D5C3E"/>
    <w:rsid w:val="006E513B"/>
    <w:rsid w:val="006F68CD"/>
    <w:rsid w:val="007243D6"/>
    <w:rsid w:val="007532CF"/>
    <w:rsid w:val="00774C08"/>
    <w:rsid w:val="00790F38"/>
    <w:rsid w:val="007A0564"/>
    <w:rsid w:val="007B1606"/>
    <w:rsid w:val="007C0694"/>
    <w:rsid w:val="007C79CB"/>
    <w:rsid w:val="007D18A4"/>
    <w:rsid w:val="007D3DBE"/>
    <w:rsid w:val="007F1516"/>
    <w:rsid w:val="00810027"/>
    <w:rsid w:val="0081631F"/>
    <w:rsid w:val="00830114"/>
    <w:rsid w:val="0089096E"/>
    <w:rsid w:val="00891A77"/>
    <w:rsid w:val="008A7DB7"/>
    <w:rsid w:val="008B29A1"/>
    <w:rsid w:val="008E5368"/>
    <w:rsid w:val="008E56BD"/>
    <w:rsid w:val="00927DD5"/>
    <w:rsid w:val="009A1C85"/>
    <w:rsid w:val="00A318E3"/>
    <w:rsid w:val="00AD07B3"/>
    <w:rsid w:val="00AD07E2"/>
    <w:rsid w:val="00AF4D8E"/>
    <w:rsid w:val="00AF5C5F"/>
    <w:rsid w:val="00B15E23"/>
    <w:rsid w:val="00B27564"/>
    <w:rsid w:val="00B4713F"/>
    <w:rsid w:val="00B52F27"/>
    <w:rsid w:val="00B53814"/>
    <w:rsid w:val="00B6565E"/>
    <w:rsid w:val="00BB7F58"/>
    <w:rsid w:val="00BD11CB"/>
    <w:rsid w:val="00BE1267"/>
    <w:rsid w:val="00BF69F8"/>
    <w:rsid w:val="00BF74B2"/>
    <w:rsid w:val="00C14A36"/>
    <w:rsid w:val="00C15EB7"/>
    <w:rsid w:val="00C27324"/>
    <w:rsid w:val="00C621DF"/>
    <w:rsid w:val="00C665A9"/>
    <w:rsid w:val="00C758A3"/>
    <w:rsid w:val="00CF069F"/>
    <w:rsid w:val="00CF6CC4"/>
    <w:rsid w:val="00D2419E"/>
    <w:rsid w:val="00D30EF4"/>
    <w:rsid w:val="00D95B21"/>
    <w:rsid w:val="00DA5B0A"/>
    <w:rsid w:val="00DB7078"/>
    <w:rsid w:val="00DD2DB1"/>
    <w:rsid w:val="00DE245E"/>
    <w:rsid w:val="00DF36D1"/>
    <w:rsid w:val="00E01787"/>
    <w:rsid w:val="00E0468B"/>
    <w:rsid w:val="00E20F59"/>
    <w:rsid w:val="00E6530D"/>
    <w:rsid w:val="00E80860"/>
    <w:rsid w:val="00EA068E"/>
    <w:rsid w:val="00EA55F5"/>
    <w:rsid w:val="00EB5AA8"/>
    <w:rsid w:val="00EE06EC"/>
    <w:rsid w:val="00EF411B"/>
    <w:rsid w:val="00F62989"/>
    <w:rsid w:val="00F72662"/>
    <w:rsid w:val="00F81692"/>
    <w:rsid w:val="00FB423E"/>
    <w:rsid w:val="00FE433B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3">
    <w:name w:val="heading 3"/>
    <w:basedOn w:val="a"/>
    <w:next w:val="a"/>
    <w:link w:val="30"/>
    <w:qFormat/>
    <w:rsid w:val="005044E7"/>
    <w:pPr>
      <w:keepNext/>
      <w:overflowPunct/>
      <w:adjustRightInd/>
      <w:ind w:firstLine="720"/>
      <w:jc w:val="right"/>
      <w:textAlignment w:val="auto"/>
      <w:outlineLvl w:val="2"/>
    </w:pPr>
    <w:rPr>
      <w:rFonts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114"/>
  </w:style>
  <w:style w:type="paragraph" w:styleId="a5">
    <w:name w:val="footer"/>
    <w:basedOn w:val="a"/>
    <w:link w:val="a6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114"/>
  </w:style>
  <w:style w:type="character" w:styleId="a7">
    <w:name w:val="Hyperlink"/>
    <w:uiPriority w:val="99"/>
    <w:unhideWhenUsed/>
    <w:rsid w:val="00432E73"/>
    <w:rPr>
      <w:color w:val="0000FF"/>
      <w:u w:val="single"/>
    </w:rPr>
  </w:style>
  <w:style w:type="table" w:styleId="a8">
    <w:name w:val="Table Grid"/>
    <w:basedOn w:val="a1"/>
    <w:uiPriority w:val="59"/>
    <w:rsid w:val="0075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5044E7"/>
    <w:rPr>
      <w:rFonts w:ascii="Arial" w:eastAsia="Times New Roman" w:hAnsi="Arial" w:cs="Arial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11CB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B1847"/>
  </w:style>
  <w:style w:type="character" w:customStyle="1" w:styleId="ac">
    <w:name w:val="Текст сноски Знак"/>
    <w:basedOn w:val="a0"/>
    <w:link w:val="ab"/>
    <w:uiPriority w:val="99"/>
    <w:semiHidden/>
    <w:rsid w:val="000B1847"/>
    <w:rPr>
      <w:rFonts w:ascii="Arial" w:eastAsia="Times New Roman" w:hAnsi="Arial"/>
    </w:rPr>
  </w:style>
  <w:style w:type="character" w:styleId="ad">
    <w:name w:val="footnote reference"/>
    <w:basedOn w:val="a0"/>
    <w:uiPriority w:val="99"/>
    <w:semiHidden/>
    <w:unhideWhenUsed/>
    <w:rsid w:val="000B1847"/>
    <w:rPr>
      <w:vertAlign w:val="superscript"/>
    </w:rPr>
  </w:style>
  <w:style w:type="paragraph" w:styleId="ae">
    <w:name w:val="List Paragraph"/>
    <w:basedOn w:val="a"/>
    <w:uiPriority w:val="34"/>
    <w:qFormat/>
    <w:rsid w:val="00CF6CC4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420D9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0D9F"/>
  </w:style>
  <w:style w:type="character" w:customStyle="1" w:styleId="af1">
    <w:name w:val="Текст примечания Знак"/>
    <w:basedOn w:val="a0"/>
    <w:link w:val="af0"/>
    <w:uiPriority w:val="99"/>
    <w:semiHidden/>
    <w:rsid w:val="00420D9F"/>
    <w:rPr>
      <w:rFonts w:ascii="Arial" w:eastAsia="Times New Roman" w:hAnsi="Aria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0D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0D9F"/>
    <w:rPr>
      <w:rFonts w:ascii="Arial" w:eastAsia="Times New Roman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7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3">
    <w:name w:val="heading 3"/>
    <w:basedOn w:val="a"/>
    <w:next w:val="a"/>
    <w:link w:val="30"/>
    <w:qFormat/>
    <w:rsid w:val="005044E7"/>
    <w:pPr>
      <w:keepNext/>
      <w:overflowPunct/>
      <w:adjustRightInd/>
      <w:ind w:firstLine="720"/>
      <w:jc w:val="right"/>
      <w:textAlignment w:val="auto"/>
      <w:outlineLvl w:val="2"/>
    </w:pPr>
    <w:rPr>
      <w:rFonts w:cs="Arial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0114"/>
  </w:style>
  <w:style w:type="paragraph" w:styleId="a5">
    <w:name w:val="footer"/>
    <w:basedOn w:val="a"/>
    <w:link w:val="a6"/>
    <w:uiPriority w:val="99"/>
    <w:unhideWhenUsed/>
    <w:rsid w:val="00830114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0114"/>
  </w:style>
  <w:style w:type="character" w:styleId="a7">
    <w:name w:val="Hyperlink"/>
    <w:uiPriority w:val="99"/>
    <w:unhideWhenUsed/>
    <w:rsid w:val="00432E73"/>
    <w:rPr>
      <w:color w:val="0000FF"/>
      <w:u w:val="single"/>
    </w:rPr>
  </w:style>
  <w:style w:type="table" w:styleId="a8">
    <w:name w:val="Table Grid"/>
    <w:basedOn w:val="a1"/>
    <w:uiPriority w:val="59"/>
    <w:rsid w:val="0075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5044E7"/>
    <w:rPr>
      <w:rFonts w:ascii="Arial" w:eastAsia="Times New Roman" w:hAnsi="Arial" w:cs="Arial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11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D11CB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B1847"/>
  </w:style>
  <w:style w:type="character" w:customStyle="1" w:styleId="ac">
    <w:name w:val="Текст сноски Знак"/>
    <w:basedOn w:val="a0"/>
    <w:link w:val="ab"/>
    <w:uiPriority w:val="99"/>
    <w:semiHidden/>
    <w:rsid w:val="000B1847"/>
    <w:rPr>
      <w:rFonts w:ascii="Arial" w:eastAsia="Times New Roman" w:hAnsi="Arial"/>
    </w:rPr>
  </w:style>
  <w:style w:type="character" w:styleId="ad">
    <w:name w:val="footnote reference"/>
    <w:basedOn w:val="a0"/>
    <w:uiPriority w:val="99"/>
    <w:semiHidden/>
    <w:unhideWhenUsed/>
    <w:rsid w:val="000B1847"/>
    <w:rPr>
      <w:vertAlign w:val="superscript"/>
    </w:rPr>
  </w:style>
  <w:style w:type="paragraph" w:styleId="ae">
    <w:name w:val="List Paragraph"/>
    <w:basedOn w:val="a"/>
    <w:uiPriority w:val="34"/>
    <w:qFormat/>
    <w:rsid w:val="00CF6CC4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420D9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0D9F"/>
  </w:style>
  <w:style w:type="character" w:customStyle="1" w:styleId="af1">
    <w:name w:val="Текст примечания Знак"/>
    <w:basedOn w:val="a0"/>
    <w:link w:val="af0"/>
    <w:uiPriority w:val="99"/>
    <w:semiHidden/>
    <w:rsid w:val="00420D9F"/>
    <w:rPr>
      <w:rFonts w:ascii="Arial" w:eastAsia="Times New Roman" w:hAnsi="Aria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0D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0D9F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D52E14D3691964010FD2E247849F915E3B514840E8366E55D43DFF2E7250B3930E320C69B72270E9B3ECBEF4F77986B7D16F262461CP9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8536837006109CAE58977740972E78C1F67309C56518656B24B7ED20DFC154269A4E68AE1AF1243888A9C21641714B4029A5EF37593C1DuDK8I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8536837006109CAE58977740972E78C0FB7C0BCC6418656B24B7ED20DFC154269A4E68AE1AF7273A88A9C21641714B4029A5EF37593C1DuDK8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8536837006109CAE58977740972E78C1F67309C56518656B24B7ED20DFC154269A4E68AE1AF1243888A9C21641714B4029A5EF37593C1DuDK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D52E14D3691964010FD2E247849F915E2B3138E038366E55D43DFF2E7250B3930E323C69F732A53C12ECFA6197A856B6508F67C46C94B1BPC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85;&#1072;\AppData\Roaming\Microsoft\&#1064;&#1072;&#1073;&#1083;&#1086;&#1085;&#1099;\partad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3B48-683A-4C22-975E-F1B63531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partad_2018</Template>
  <TotalTime>0</TotalTime>
  <Pages>4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Фомин</dc:creator>
  <cp:lastModifiedBy>Марина</cp:lastModifiedBy>
  <cp:revision>2</cp:revision>
  <cp:lastPrinted>2020-06-30T13:33:00Z</cp:lastPrinted>
  <dcterms:created xsi:type="dcterms:W3CDTF">2020-08-19T09:04:00Z</dcterms:created>
  <dcterms:modified xsi:type="dcterms:W3CDTF">2020-08-19T09:04:00Z</dcterms:modified>
</cp:coreProperties>
</file>