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819"/>
      </w:tblGrid>
      <w:tr w:rsidR="00B9292E" w:rsidRPr="00935C72" w:rsidTr="004533FA">
        <w:trPr>
          <w:trHeight w:val="177"/>
        </w:trPr>
        <w:tc>
          <w:tcPr>
            <w:tcW w:w="4961" w:type="dxa"/>
          </w:tcPr>
          <w:p w:rsidR="00B9292E" w:rsidRPr="00935C72" w:rsidRDefault="00B9292E" w:rsidP="00E63B58">
            <w:pPr>
              <w:spacing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292E" w:rsidRPr="00935C72" w:rsidRDefault="00B9292E" w:rsidP="00E63B58">
            <w:pPr>
              <w:spacing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C7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B9292E" w:rsidRPr="00935C72" w:rsidTr="004533FA">
        <w:trPr>
          <w:trHeight w:val="1224"/>
        </w:trPr>
        <w:tc>
          <w:tcPr>
            <w:tcW w:w="4961" w:type="dxa"/>
          </w:tcPr>
          <w:p w:rsidR="00B9292E" w:rsidRPr="00935C72" w:rsidRDefault="00B9292E" w:rsidP="00E63B58">
            <w:pPr>
              <w:tabs>
                <w:tab w:val="right" w:leader="underscore" w:pos="441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292E" w:rsidRPr="00935C72" w:rsidRDefault="00797F9B" w:rsidP="00E63B5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B9292E" w:rsidRPr="00935C72" w:rsidRDefault="00B9292E" w:rsidP="00E63B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2E" w:rsidRPr="00935C72" w:rsidRDefault="00792BAB" w:rsidP="00E63B5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5B95B937" wp14:editId="19EF4CD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177800</wp:posOffset>
                      </wp:positionV>
                      <wp:extent cx="648335" cy="319405"/>
                      <wp:effectExtent l="0" t="0" r="0" b="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335" cy="3194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50BC" w:rsidRPr="004533FA" w:rsidRDefault="009550BC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4533FA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1pt;margin-top:14pt;width:51.05pt;height:25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" filled="f" stroked="f">
                      <v:textbox style="mso-fit-shape-to-text:t">
                        <w:txbxContent>
                          <w:p w:rsidR="009550BC" w:rsidRPr="004533FA" w:rsidRDefault="009550B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533FA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(подпись)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92E" w:rsidRPr="00935C7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0E009B" w:rsidRPr="00935C7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9292E" w:rsidRPr="00935C72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  <w:r w:rsidR="00797F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9292E" w:rsidRPr="00935C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97F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292E" w:rsidRPr="00935C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7F9B">
              <w:rPr>
                <w:rFonts w:ascii="Times New Roman" w:hAnsi="Times New Roman" w:cs="Times New Roman"/>
                <w:sz w:val="24"/>
                <w:szCs w:val="24"/>
              </w:rPr>
              <w:t>Дубонос</w:t>
            </w:r>
          </w:p>
          <w:p w:rsidR="00B9292E" w:rsidRPr="00935C72" w:rsidRDefault="00B9292E" w:rsidP="00E63B58">
            <w:pPr>
              <w:keepNext/>
              <w:keepLines/>
              <w:suppressLineNumbers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92E" w:rsidRPr="00935C72" w:rsidRDefault="00797F9B" w:rsidP="00391E68">
            <w:pPr>
              <w:tabs>
                <w:tab w:val="right" w:leader="underscore" w:pos="441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E68" w:rsidRPr="005A2B5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2E" w:rsidRPr="00935C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2E" w:rsidRPr="00935C7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9292E" w:rsidRPr="00935C72" w:rsidTr="004533FA">
        <w:trPr>
          <w:trHeight w:val="392"/>
        </w:trPr>
        <w:tc>
          <w:tcPr>
            <w:tcW w:w="4961" w:type="dxa"/>
          </w:tcPr>
          <w:p w:rsidR="00B9292E" w:rsidRPr="00935C72" w:rsidRDefault="00B9292E" w:rsidP="00E63B58">
            <w:pPr>
              <w:tabs>
                <w:tab w:val="right" w:leader="underscore" w:pos="441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9292E" w:rsidRPr="00935C72" w:rsidRDefault="00B9292E" w:rsidP="00E63B58">
            <w:pPr>
              <w:keepNext/>
              <w:keepLines/>
              <w:suppressLineNumbers/>
              <w:suppressAutoHyphens/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92E" w:rsidRPr="00935C72" w:rsidRDefault="00B9292E" w:rsidP="00E63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0BC" w:rsidRPr="00935C72" w:rsidRDefault="00A81D90" w:rsidP="00E63B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Заявка</w:t>
      </w:r>
      <w:r w:rsidR="00A22266" w:rsidRPr="00935C7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D6894" w:rsidRPr="00935C72">
        <w:rPr>
          <w:rFonts w:ascii="Times New Roman" w:hAnsi="Times New Roman" w:cs="Times New Roman"/>
          <w:b/>
          <w:sz w:val="24"/>
          <w:szCs w:val="24"/>
        </w:rPr>
        <w:t>пилотирование</w:t>
      </w:r>
      <w:r w:rsidR="00A22266" w:rsidRPr="00935C72">
        <w:rPr>
          <w:rFonts w:ascii="Times New Roman" w:hAnsi="Times New Roman" w:cs="Times New Roman"/>
          <w:b/>
          <w:sz w:val="24"/>
          <w:szCs w:val="24"/>
        </w:rPr>
        <w:t xml:space="preserve"> финансового сервиса</w:t>
      </w:r>
      <w:r w:rsidR="004277CD" w:rsidRPr="00935C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02D5"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4277CD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A22266" w:rsidRPr="00935C72">
        <w:rPr>
          <w:rFonts w:ascii="Times New Roman" w:hAnsi="Times New Roman" w:cs="Times New Roman"/>
          <w:b/>
          <w:sz w:val="24"/>
          <w:szCs w:val="24"/>
        </w:rPr>
        <w:br/>
        <w:t>на регулятивной площадке Банка России</w:t>
      </w:r>
      <w:r w:rsidR="005F5722" w:rsidRPr="00935C72">
        <w:rPr>
          <w:rStyle w:val="af4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277CD" w:rsidRPr="00935C72" w:rsidRDefault="004277CD" w:rsidP="00E63B58">
      <w:pPr>
        <w:pStyle w:val="a8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F5722" w:rsidRPr="00935C72" w:rsidRDefault="005F5722" w:rsidP="00E63B58">
      <w:pPr>
        <w:pStyle w:val="a8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A22266" w:rsidRPr="00935C72" w:rsidRDefault="00A22266" w:rsidP="00E63B58">
      <w:pPr>
        <w:pStyle w:val="a8"/>
        <w:numPr>
          <w:ilvl w:val="0"/>
          <w:numId w:val="1"/>
        </w:numPr>
        <w:spacing w:line="240" w:lineRule="auto"/>
        <w:ind w:left="426" w:hanging="284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Информация об инициаторе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3"/>
        <w:gridCol w:w="5409"/>
      </w:tblGrid>
      <w:tr w:rsidR="008B1628" w:rsidRPr="00935C72" w:rsidTr="0018319B">
        <w:tc>
          <w:tcPr>
            <w:tcW w:w="9062" w:type="dxa"/>
            <w:gridSpan w:val="2"/>
          </w:tcPr>
          <w:p w:rsidR="008B1628" w:rsidRPr="00935C72" w:rsidRDefault="008B1628" w:rsidP="00E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Общая информация</w:t>
            </w:r>
          </w:p>
          <w:p w:rsidR="00C344E0" w:rsidRPr="00935C72" w:rsidRDefault="00C344E0" w:rsidP="00E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(заполняется инициаторами – кредитными организациями, некредитными организациями и иными юридическими лицами)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09" w:type="dxa"/>
          </w:tcPr>
          <w:p w:rsidR="0018319B" w:rsidRPr="00935C72" w:rsidRDefault="00654B92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ПАРТАД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409" w:type="dxa"/>
          </w:tcPr>
          <w:p w:rsidR="0018319B" w:rsidRPr="00935C72" w:rsidRDefault="00654B92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>1027739915400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09" w:type="dxa"/>
          </w:tcPr>
          <w:p w:rsidR="0018319B" w:rsidRPr="00935C72" w:rsidRDefault="00654B92" w:rsidP="00654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 xml:space="preserve">115419,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осква,</w:t>
            </w: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Орджоникидзе</w:t>
            </w: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09" w:type="dxa"/>
          </w:tcPr>
          <w:p w:rsidR="0018319B" w:rsidRPr="00935C72" w:rsidRDefault="00654B92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+7(495) 789-68-85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5409" w:type="dxa"/>
          </w:tcPr>
          <w:p w:rsidR="0018319B" w:rsidRPr="00797F9B" w:rsidRDefault="000F25C6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4B92" w:rsidRPr="0084616C">
                <w:rPr>
                  <w:rFonts w:ascii="Times New Roman" w:hAnsi="Times New Roman" w:cs="Times New Roman"/>
                  <w:sz w:val="24"/>
                  <w:szCs w:val="24"/>
                </w:rPr>
                <w:t>http://partad.ru/</w:t>
              </w:r>
            </w:hyperlink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Страна регистрации</w:t>
            </w:r>
          </w:p>
        </w:tc>
        <w:tc>
          <w:tcPr>
            <w:tcW w:w="5409" w:type="dxa"/>
          </w:tcPr>
          <w:p w:rsidR="0018319B" w:rsidRPr="00935C72" w:rsidRDefault="00654B92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Краткое описание основного вида деятельности организации</w:t>
            </w:r>
          </w:p>
        </w:tc>
        <w:tc>
          <w:tcPr>
            <w:tcW w:w="5409" w:type="dxa"/>
          </w:tcPr>
          <w:p w:rsidR="0018319B" w:rsidRPr="00654B92" w:rsidRDefault="00654B92" w:rsidP="0084616C">
            <w:pPr>
              <w:pBdr>
                <w:bottom w:val="single" w:sz="6" w:space="6" w:color="E5E5E5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4616C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эффективности функционирования финансовых рынков</w:t>
            </w:r>
          </w:p>
        </w:tc>
      </w:tr>
      <w:tr w:rsidR="00980F07" w:rsidRPr="00935C72" w:rsidTr="0018319B">
        <w:tc>
          <w:tcPr>
            <w:tcW w:w="9062" w:type="dxa"/>
            <w:gridSpan w:val="2"/>
          </w:tcPr>
          <w:p w:rsidR="00980F07" w:rsidRPr="00935C72" w:rsidRDefault="00980F07" w:rsidP="00E63B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Информация об уполномоченном представителе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5409" w:type="dxa"/>
          </w:tcPr>
          <w:p w:rsidR="0018319B" w:rsidRPr="00935C72" w:rsidRDefault="00797F9B" w:rsidP="00797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Лансков Пётр Михайлович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09" w:type="dxa"/>
          </w:tcPr>
          <w:p w:rsidR="0018319B" w:rsidRPr="00935C72" w:rsidRDefault="00797F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директоров 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409" w:type="dxa"/>
          </w:tcPr>
          <w:p w:rsidR="0018319B" w:rsidRPr="00935C72" w:rsidRDefault="00797F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F9B">
              <w:rPr>
                <w:rFonts w:ascii="Times New Roman" w:hAnsi="Times New Roman" w:cs="Times New Roman"/>
                <w:sz w:val="24"/>
                <w:szCs w:val="24"/>
              </w:rPr>
              <w:t>planskov@gmail.com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Городской телефон</w:t>
            </w:r>
          </w:p>
        </w:tc>
        <w:tc>
          <w:tcPr>
            <w:tcW w:w="5409" w:type="dxa"/>
          </w:tcPr>
          <w:p w:rsidR="0018319B" w:rsidRPr="00935C72" w:rsidRDefault="00797F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+7(495) 789-68-85</w:t>
            </w:r>
          </w:p>
        </w:tc>
      </w:tr>
      <w:tr w:rsidR="0018319B" w:rsidRPr="00935C72" w:rsidTr="0018319B">
        <w:tc>
          <w:tcPr>
            <w:tcW w:w="3653" w:type="dxa"/>
          </w:tcPr>
          <w:p w:rsidR="0018319B" w:rsidRPr="00935C72" w:rsidRDefault="001831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72"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409" w:type="dxa"/>
          </w:tcPr>
          <w:p w:rsidR="0018319B" w:rsidRPr="00935C72" w:rsidRDefault="00797F9B" w:rsidP="00E6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+7(903) 723-37-60</w:t>
            </w:r>
          </w:p>
        </w:tc>
      </w:tr>
    </w:tbl>
    <w:p w:rsidR="004277CD" w:rsidRPr="00935C72" w:rsidRDefault="004277CD" w:rsidP="00E63B58">
      <w:pPr>
        <w:pStyle w:val="a8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4277CD" w:rsidRPr="00935C72" w:rsidRDefault="004277CD" w:rsidP="00E63B58">
      <w:pPr>
        <w:pStyle w:val="a8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5F5722" w:rsidRPr="00935C72" w:rsidRDefault="005F5722" w:rsidP="00E63B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22266" w:rsidRPr="00935C72" w:rsidRDefault="00A22266" w:rsidP="00E63B58">
      <w:pPr>
        <w:pStyle w:val="a8"/>
        <w:numPr>
          <w:ilvl w:val="0"/>
          <w:numId w:val="1"/>
        </w:numPr>
        <w:spacing w:after="0" w:line="24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Информация о </w:t>
      </w:r>
      <w:r w:rsidR="00960881" w:rsidRPr="00935C72">
        <w:rPr>
          <w:rFonts w:ascii="Times New Roman" w:hAnsi="Times New Roman" w:cs="Times New Roman"/>
          <w:b/>
          <w:sz w:val="24"/>
          <w:szCs w:val="24"/>
        </w:rPr>
        <w:t>финансовом сервисе</w:t>
      </w:r>
    </w:p>
    <w:p w:rsidR="00865194" w:rsidRPr="00935C72" w:rsidRDefault="00865194" w:rsidP="00E63B5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B68A2" w:rsidRPr="00935C72" w:rsidRDefault="0097150A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Описание финансового сервиса (</w:t>
      </w:r>
      <w:r w:rsidR="33B31E34"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33B31E34" w:rsidRPr="00935C72">
        <w:rPr>
          <w:rFonts w:ascii="Times New Roman" w:hAnsi="Times New Roman" w:cs="Times New Roman"/>
          <w:b/>
          <w:sz w:val="24"/>
          <w:szCs w:val="24"/>
        </w:rPr>
        <w:t xml:space="preserve"> и сфер его применения, а также описание целевой группы участников финансового рынка.</w:t>
      </w:r>
    </w:p>
    <w:p w:rsidR="00B2781A" w:rsidRPr="00935C72" w:rsidRDefault="00B2781A" w:rsidP="00E63B58">
      <w:pPr>
        <w:shd w:val="clear" w:color="auto" w:fill="FFFFFF"/>
        <w:tabs>
          <w:tab w:val="left" w:pos="845"/>
        </w:tabs>
        <w:spacing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781A" w:rsidRPr="00935C72" w:rsidRDefault="00DE2D9B" w:rsidP="002B776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2B776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B2781A" w:rsidRPr="00935C72">
        <w:rPr>
          <w:rFonts w:ascii="Times New Roman" w:eastAsia="Times New Roman" w:hAnsi="Times New Roman" w:cs="Times New Roman"/>
          <w:bCs/>
          <w:sz w:val="24"/>
          <w:szCs w:val="24"/>
        </w:rPr>
        <w:t>Интегрированная платформа сервисов учетных институтов финансового рынка (ИПС). ИПС - технологическая платформа для развития сервисов регистраторов и депозитариев РЦБ как Операторов инвестиционных платформ (ФЗ-259).</w:t>
      </w:r>
    </w:p>
    <w:p w:rsidR="00B2781A" w:rsidRPr="00935C72" w:rsidRDefault="006C67B5" w:rsidP="002B776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2781A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Учет прав на  ценные бумаги и утилитарные цифровые права (УЦП)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ИПС </w:t>
      </w:r>
      <w:r w:rsidR="00B2781A" w:rsidRPr="00935C72">
        <w:rPr>
          <w:rFonts w:ascii="Times New Roman" w:eastAsia="Times New Roman" w:hAnsi="Times New Roman" w:cs="Times New Roman"/>
          <w:bCs/>
          <w:sz w:val="24"/>
          <w:szCs w:val="24"/>
        </w:rPr>
        <w:t>будет обеспечиваться профессионалами РЦБ.</w:t>
      </w:r>
    </w:p>
    <w:p w:rsidR="00B2781A" w:rsidRPr="00935C72" w:rsidRDefault="006C67B5" w:rsidP="002B776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B2781A" w:rsidRPr="00935C72">
        <w:rPr>
          <w:rFonts w:ascii="Times New Roman" w:eastAsia="Times New Roman" w:hAnsi="Times New Roman" w:cs="Times New Roman"/>
          <w:bCs/>
          <w:sz w:val="24"/>
          <w:szCs w:val="24"/>
        </w:rPr>
        <w:t>Принадлежащие Инвестору ценные бумаги и УЦП будут отражаться в его личном кабинете  на ИПС. Это обеспечит реализацию принципа «одного окна» доступа к услугам учетных институтов.</w:t>
      </w:r>
    </w:p>
    <w:p w:rsidR="003319C2" w:rsidRPr="00935C72" w:rsidRDefault="006C67B5" w:rsidP="002B776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 использует для </w:t>
      </w:r>
      <w:r w:rsidR="00A548C2" w:rsidRPr="00935C72">
        <w:rPr>
          <w:rFonts w:ascii="Times New Roman" w:eastAsia="Times New Roman" w:hAnsi="Times New Roman" w:cs="Times New Roman"/>
          <w:bCs/>
          <w:sz w:val="24"/>
          <w:szCs w:val="24"/>
        </w:rPr>
        <w:t>ИПС</w:t>
      </w:r>
      <w:r w:rsidR="00FB7B9B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блокчейн-сеть, 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созданную  им в 2018-2019 гг. </w:t>
      </w:r>
    </w:p>
    <w:p w:rsidR="003319C2" w:rsidRPr="00935C72" w:rsidRDefault="006C67B5" w:rsidP="002B776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Заявителем предлагается отраслевое платформенное решение в отношении деятельности Операторов инвестиционных платформ, к реализации которого привлекаются регистраторы и депозитарии рынка ценных бумаг.</w:t>
      </w:r>
    </w:p>
    <w:p w:rsidR="00005FC8" w:rsidRPr="00935C72" w:rsidRDefault="00DE2D9B" w:rsidP="002B776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2B776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Ключевыми </w:t>
      </w:r>
      <w:r w:rsidR="007B0A15" w:rsidRPr="00935C72">
        <w:rPr>
          <w:rFonts w:ascii="Times New Roman" w:eastAsia="Times New Roman" w:hAnsi="Times New Roman" w:cs="Times New Roman"/>
          <w:bCs/>
          <w:sz w:val="24"/>
          <w:szCs w:val="24"/>
        </w:rPr>
        <w:t>элементами сервиса являются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05FC8" w:rsidRPr="00935C72" w:rsidRDefault="00005FC8" w:rsidP="002B7764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7B0A15" w:rsidRPr="00935C72">
        <w:rPr>
          <w:rFonts w:ascii="Times New Roman" w:eastAsia="Times New Roman" w:hAnsi="Times New Roman" w:cs="Times New Roman"/>
          <w:bCs/>
          <w:sz w:val="24"/>
          <w:szCs w:val="24"/>
        </w:rPr>
        <w:t>Программно-технический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комплекс сервисов оператора инвестиционной платформы </w:t>
      </w:r>
      <w:r w:rsidR="00F641F6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работающего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ИПС с использованием технологии распределенного реестра (РБД) согласно требований ФЗ-259. </w:t>
      </w:r>
    </w:p>
    <w:p w:rsidR="00005FC8" w:rsidRPr="00935C72" w:rsidRDefault="00005FC8" w:rsidP="002B7764">
      <w:pPr>
        <w:shd w:val="clear" w:color="auto" w:fill="FFFFFF"/>
        <w:tabs>
          <w:tab w:val="left" w:pos="8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7B0A15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нтерфейс личного кабинета владельца ценнобумажных и ц</w:t>
      </w:r>
      <w:r w:rsidR="007B0A15" w:rsidRPr="00935C72">
        <w:rPr>
          <w:rFonts w:ascii="Times New Roman" w:eastAsia="Times New Roman" w:hAnsi="Times New Roman" w:cs="Times New Roman"/>
          <w:bCs/>
          <w:sz w:val="24"/>
          <w:szCs w:val="24"/>
        </w:rPr>
        <w:t>ифровых активов в ИПС,  связанный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через API c информационными системами регистраторов и депозитариев/операторов  платформ, осуществляющих их учет. </w:t>
      </w:r>
    </w:p>
    <w:p w:rsidR="0051076F" w:rsidRPr="00935C72" w:rsidRDefault="0051076F" w:rsidP="002B77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51076F" w:rsidRPr="00935C72" w:rsidRDefault="0051076F" w:rsidP="002B77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51076F" w:rsidRPr="00935C72" w:rsidRDefault="0051076F" w:rsidP="002B776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935C72">
        <w:rPr>
          <w:i/>
        </w:rPr>
        <w:t>Сфера применения</w:t>
      </w:r>
    </w:p>
    <w:p w:rsidR="0051076F" w:rsidRPr="00935C72" w:rsidRDefault="0051076F" w:rsidP="002B77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2B7764" w:rsidRPr="00935C72" w:rsidRDefault="002B7764" w:rsidP="002B77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35C72">
        <w:t xml:space="preserve">В соответствии с частью 2 статьи </w:t>
      </w:r>
      <w:r w:rsidR="00F641F6" w:rsidRPr="00935C72">
        <w:t>10 ФЗ-259</w:t>
      </w:r>
      <w:r w:rsidRPr="00935C72">
        <w:t xml:space="preserve">  учетные институты, как и другие участники финансового рынка  вправе совмещать свою профессиональную деятельность с функцией оператора инвестплатформы, что способно в перспективе значимо расширить линейку их сервисов. </w:t>
      </w:r>
    </w:p>
    <w:p w:rsidR="002B7764" w:rsidRPr="00935C72" w:rsidRDefault="002B7764" w:rsidP="002B776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Оператор предоставляет инвестору по договору об оказании услуг по содействию в инвестировании доступ к инвестплатформе для заключения с лицом, привлекающим инвестиции, договора инвестирования. Договоры инвестирования заключаются путем принятия инвестиционного предложения лица, привлекающего инвестиции, и перечисления на его банковский счет денежных средств инвесторов (см. рис. 1). Учет таких договоров может вести как сам оператор, так и привлеченный им регистратор, если они не совпадают в одном лице. Через инвестплатформы можно будет предоставлять займы, приобретать ценные бумаги по закрытой подписке и утилитарные цифровые права (УЦП). Важно при этом отметить, что право на регистрацию дополнительных выпусков ценных бумаг, размещаемых путем закрытой подписки с использованием инвестплатформы, соответствующей поправкой в статью 20 ФЗ «О рынке ценных бумаг» предоставлено регистраторам.</w:t>
      </w:r>
    </w:p>
    <w:p w:rsidR="002B7764" w:rsidRPr="00935C72" w:rsidRDefault="002B7764" w:rsidP="002B776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5C7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CF3973F" wp14:editId="17FE202F">
            <wp:extent cx="5940425" cy="2647950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764" w:rsidRPr="00935C72" w:rsidRDefault="002B7764" w:rsidP="002B77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764" w:rsidRPr="00935C72" w:rsidRDefault="002B7764" w:rsidP="002B7764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</w:rPr>
      </w:pPr>
      <w:r w:rsidRPr="00935C72">
        <w:rPr>
          <w:b/>
          <w:i/>
        </w:rPr>
        <w:t>Рис 1. Схема привлечения инвестиций посредством инвестплатформы.</w:t>
      </w:r>
    </w:p>
    <w:p w:rsidR="002B7764" w:rsidRPr="00935C72" w:rsidRDefault="002B7764" w:rsidP="002B776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7764" w:rsidRPr="00935C72" w:rsidRDefault="002B7764" w:rsidP="002B77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C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ФЗ</w:t>
      </w:r>
      <w:r w:rsidR="00F641F6" w:rsidRPr="00935C72">
        <w:rPr>
          <w:rFonts w:ascii="Times New Roman" w:eastAsia="Times New Roman" w:hAnsi="Times New Roman" w:cs="Times New Roman"/>
          <w:sz w:val="24"/>
          <w:szCs w:val="24"/>
          <w:lang w:eastAsia="ru-RU"/>
        </w:rPr>
        <w:t>-259</w:t>
      </w:r>
      <w:r w:rsidRPr="0093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ряд ограничений в отношении условий привлечений инвестиций. Так, например,</w:t>
      </w:r>
      <w:r w:rsidRPr="00935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течение одного календарного года одно юридическое лицо или индивидуальный предприниматель может привлечь с использованием услуг операторов всех инвестплатформ инвестиций на сумму не более 1 млрд. рублей, а инвестор – физическое лицо не может инвестировать более 600 тыс. рублей в активы, размещаемые посредством услуг операторов инвестплатформ (за исключением квалифицированных инвесторов). Однако указанные ограничения не действуют в том случае, если публичное акционерное общество посредством услуг оператора инвестплатформы осуществляет размещение УЦП.   </w:t>
      </w:r>
    </w:p>
    <w:p w:rsidR="002B7764" w:rsidRPr="00935C72" w:rsidRDefault="002B7764" w:rsidP="002B7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Важно отметить, что </w:t>
      </w:r>
      <w:r w:rsidRPr="00935C72">
        <w:rPr>
          <w:rFonts w:ascii="Times New Roman" w:hAnsi="Times New Roman" w:cs="Times New Roman"/>
          <w:sz w:val="24"/>
          <w:szCs w:val="24"/>
        </w:rPr>
        <w:t xml:space="preserve">для того, чтобы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инвестирование могло осуществляться  путем приобретения УЦП с использованием услуг оператора инвестиционной платформы, элементы информационной системы последней  должны обладать следующими  признаками:</w:t>
      </w:r>
    </w:p>
    <w:p w:rsidR="002B7764" w:rsidRPr="00935C72" w:rsidRDefault="002B7764" w:rsidP="002B7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 технические средства инвестиционной платформы, на которых хранится ее база данных, физически отделены друг от друга и подключены к информационно-телекоммуникационной сети (далее - узлы инвестиционной платформы);</w:t>
      </w:r>
    </w:p>
    <w:p w:rsidR="002B7764" w:rsidRPr="00935C72" w:rsidRDefault="002B7764" w:rsidP="002B7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 база данных инвестиционной платформы находится под управлением программ, установленных на узлах инвестиционной платформы;</w:t>
      </w:r>
    </w:p>
    <w:p w:rsidR="002B7764" w:rsidRPr="00935C72" w:rsidRDefault="002B7764" w:rsidP="002B7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 информационные технологии  осуществляют в автоматическом режиме  поддержание тождественности информации, содержащейся в базах данных инвестиционной платформы, на всех ее узлах.</w:t>
      </w:r>
    </w:p>
    <w:p w:rsidR="002B7764" w:rsidRPr="00935C72" w:rsidRDefault="002E69A3" w:rsidP="002B77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фактически означает, что информационная система инвестиционной платформы, на которой будут приобретаться УЦП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может быть связана с блокчейн-сетью. </w:t>
      </w:r>
      <w:r w:rsidR="002B7764"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российском финансовом рынке в опытном режиме в настоящее время эксплуатируются, как минимум, две блокчейн-сети: </w:t>
      </w:r>
      <w:r w:rsidR="002B7764"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Masterchain</w:t>
      </w:r>
      <w:r w:rsidR="002B7764"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(Ассоциация Финтех) и </w:t>
      </w:r>
      <w:r w:rsidR="002B7764"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Partadchain</w:t>
      </w:r>
      <w:r w:rsidR="002B7764"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2B7764" w:rsidRPr="00935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(СРО ПАРТАД). Дополнительные требования к информационным системам инвестиционных платформ (их операторов)  могут быть также установлены нормативными актами Банка России.</w:t>
      </w:r>
    </w:p>
    <w:p w:rsidR="00F641F6" w:rsidRPr="00935C72" w:rsidRDefault="00F641F6" w:rsidP="00F64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Таким образом, вступающий в силу с 1 января 2020 г. ФЗ –</w:t>
      </w:r>
      <w:r w:rsidR="005417C8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 xml:space="preserve">259 позволяет операторам инвестиционных платформ, в т.ч. работающих с использованием сервисов ИПС, перевести несколько хаотичный и неструктурированный процесс нынешнего </w:t>
      </w:r>
      <w:r w:rsidRPr="00935C72">
        <w:rPr>
          <w:rFonts w:ascii="Times New Roman" w:hAnsi="Times New Roman" w:cs="Times New Roman"/>
          <w:sz w:val="24"/>
          <w:szCs w:val="24"/>
        </w:rPr>
        <w:lastRenderedPageBreak/>
        <w:t>краудфандинга (в части финансирования бизнес-проектов малого и среднего бизнеса) на рельсы организованного в соответствии с законом краудинвестинга.</w:t>
      </w:r>
    </w:p>
    <w:p w:rsidR="00F641F6" w:rsidRPr="00935C72" w:rsidRDefault="00F641F6" w:rsidP="00F64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Это делает все более актуальным  долгосрочное финансирование посредством выпуска токенов  - утилитарных цифровых прав (УЦП)  проектов не только инновационных, но и вполне обычных по производимой продукции компаний, в том числе компаний из различного рода санкционных списков.  </w:t>
      </w:r>
    </w:p>
    <w:p w:rsidR="002B7764" w:rsidRPr="00935C72" w:rsidRDefault="00F641F6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Кроме того, с</w:t>
      </w:r>
      <w:r w:rsidR="002B7764" w:rsidRPr="00935C72">
        <w:rPr>
          <w:rFonts w:ascii="Times New Roman" w:hAnsi="Times New Roman" w:cs="Times New Roman"/>
          <w:sz w:val="24"/>
          <w:szCs w:val="24"/>
        </w:rPr>
        <w:t xml:space="preserve"> 1 января 2020 года вступает в силу законодательно определенный новый порядок учреждения непубличных акционерных обществ и новые процедуры регистрации выпуска  акций</w:t>
      </w:r>
      <w:r w:rsidR="002B7764" w:rsidRPr="00935C72">
        <w:rPr>
          <w:rStyle w:val="af4"/>
          <w:rFonts w:ascii="Times New Roman" w:hAnsi="Times New Roman" w:cs="Times New Roman"/>
          <w:sz w:val="24"/>
          <w:szCs w:val="24"/>
        </w:rPr>
        <w:footnoteReference w:id="2"/>
      </w:r>
      <w:r w:rsidR="002B7764" w:rsidRPr="00935C72">
        <w:rPr>
          <w:rFonts w:ascii="Times New Roman" w:hAnsi="Times New Roman" w:cs="Times New Roman"/>
          <w:sz w:val="24"/>
          <w:szCs w:val="24"/>
        </w:rPr>
        <w:t xml:space="preserve">, позволяющие осуществлять их с помощью регистратора. Данные нововведения позволят существующим и вновь создающимся  акционерным обществам осуществлять выпуск  ценных бумаг значительно проще, используя в качестве  «одного окна» для подачи  документов на регистрацию выпусков акций (и юридического лица) своего регистратора. </w:t>
      </w:r>
    </w:p>
    <w:p w:rsidR="002B7764" w:rsidRPr="00935C72" w:rsidRDefault="002B7764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Законодательство  предоставляет регистраторам право регистрации выпуска  ценных бумаг при учреждении акционерного общества, на основании документов предоставленных им вновь создаваемым акционерным обществом как  бумажном, так и в электронном виде. </w:t>
      </w:r>
    </w:p>
    <w:p w:rsidR="002B7764" w:rsidRPr="00935C72" w:rsidRDefault="002B7764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При  дополнительном выпуске ценных бумаг,  возможность регистрации его регистратором предоставляется обществам  при его размещении через  инвестиционную платформу</w:t>
      </w:r>
      <w:r w:rsidRPr="00935C72">
        <w:rPr>
          <w:rStyle w:val="af4"/>
          <w:rFonts w:ascii="Times New Roman" w:hAnsi="Times New Roman" w:cs="Times New Roman"/>
          <w:sz w:val="24"/>
          <w:szCs w:val="24"/>
        </w:rPr>
        <w:footnoteReference w:id="3"/>
      </w:r>
      <w:r w:rsidRPr="00935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764" w:rsidRPr="00935C72" w:rsidRDefault="002B7764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Усилить эффект от данных нововведений  можно с помощью современных информационных технологий, формирующих распределенную базу данных выпусков  акций  акционерных обществ,  на основе применения технологии блокчейн и открытых программных интерфейсов (</w:t>
      </w:r>
      <w:r w:rsidRPr="00935C72">
        <w:rPr>
          <w:rFonts w:ascii="Times New Roman" w:hAnsi="Times New Roman" w:cs="Times New Roman"/>
          <w:i/>
          <w:sz w:val="24"/>
          <w:szCs w:val="24"/>
          <w:lang w:val="en-US"/>
        </w:rPr>
        <w:t>Open</w:t>
      </w:r>
      <w:r w:rsidRPr="00935C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i/>
          <w:sz w:val="24"/>
          <w:szCs w:val="24"/>
          <w:lang w:val="en-US"/>
        </w:rPr>
        <w:t>API</w:t>
      </w:r>
      <w:r w:rsidRPr="00935C72">
        <w:rPr>
          <w:rStyle w:val="af4"/>
          <w:rFonts w:ascii="Times New Roman" w:hAnsi="Times New Roman" w:cs="Times New Roman"/>
          <w:i/>
          <w:sz w:val="24"/>
          <w:szCs w:val="24"/>
          <w:lang w:val="en-US"/>
        </w:rPr>
        <w:footnoteReference w:id="4"/>
      </w:r>
      <w:r w:rsidRPr="00935C72">
        <w:rPr>
          <w:rFonts w:ascii="Times New Roman" w:hAnsi="Times New Roman" w:cs="Times New Roman"/>
          <w:sz w:val="24"/>
          <w:szCs w:val="24"/>
        </w:rPr>
        <w:t>).</w:t>
      </w:r>
    </w:p>
    <w:p w:rsidR="002B7764" w:rsidRPr="00935C72" w:rsidRDefault="002B7764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Это позволит обеспечить  бесперебойный доступ третьих лиц к сведениям о выпусках  акций акционерных обществ, зарегистрированных регистраторами. </w:t>
      </w:r>
    </w:p>
    <w:p w:rsidR="00F641F6" w:rsidRPr="00935C72" w:rsidRDefault="00F641F6" w:rsidP="00F641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C72">
        <w:rPr>
          <w:rFonts w:ascii="Times New Roman" w:hAnsi="Times New Roman" w:cs="Times New Roman"/>
          <w:sz w:val="24"/>
          <w:szCs w:val="24"/>
        </w:rPr>
        <w:t>Используемые заявителем технологии  распределенных баз данных (РБД)  предоставляют системно взаимосвязанный и проверенный во множестве опытных внедрений инструментарий (алгоритм консенсуса, умные контракты, токены, блокчейн и др.), дающий возможность их применения в различных сегментах рынках капитала в целях обеспечения прямой взаимосвязи между активами разного рода и их владельцами, с возможностью совершения ими транзакций на неизменяемых без согласия всех заинтересованных в ней сторон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>.</w:t>
      </w:r>
    </w:p>
    <w:p w:rsidR="002B7764" w:rsidRPr="00935C72" w:rsidRDefault="002B7764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Описываемые технологические решения,  в конечном счете</w:t>
      </w:r>
      <w:r w:rsidR="00F641F6" w:rsidRPr="00935C72"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служат созданию широко обсуждаемого в профильных кругах распределенного реестра данных об эмиссионных ценных бумагах, а в перспективе, - и их владельцах, давая им возможность сначала просмотра состояния всех своих активов, а затем и управления ими через одну точку доступа.</w:t>
      </w:r>
    </w:p>
    <w:p w:rsidR="003319C2" w:rsidRPr="00935C72" w:rsidRDefault="003319C2" w:rsidP="002B77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В течение последних нескольких лет технологии РБД проходят интенсивную апробацию на различных рынках, в процессе которой их базовый инструментарий развивается и диверсифицируется. Создание блокчейн-платформы Ethereum дало взрывной эффект массированного запуска основанной на ее использовании реализаций технологий РБД и послужило толком для реализованных на этой платформе пилотных </w:t>
      </w:r>
      <w:r w:rsidRPr="00935C72">
        <w:rPr>
          <w:rFonts w:ascii="Times New Roman" w:hAnsi="Times New Roman" w:cs="Times New Roman"/>
          <w:sz w:val="24"/>
          <w:szCs w:val="24"/>
        </w:rPr>
        <w:lastRenderedPageBreak/>
        <w:t xml:space="preserve">проектов </w:t>
      </w:r>
      <w:r w:rsidR="005417C8">
        <w:rPr>
          <w:rFonts w:ascii="Times New Roman" w:hAnsi="Times New Roman" w:cs="Times New Roman"/>
          <w:sz w:val="24"/>
          <w:szCs w:val="24"/>
        </w:rPr>
        <w:t>З</w:t>
      </w:r>
      <w:r w:rsidR="005417C8" w:rsidRPr="00935C72">
        <w:rPr>
          <w:rFonts w:ascii="Times New Roman" w:hAnsi="Times New Roman" w:cs="Times New Roman"/>
          <w:sz w:val="24"/>
          <w:szCs w:val="24"/>
        </w:rPr>
        <w:t>аявителя</w:t>
      </w:r>
      <w:r w:rsidRPr="00935C72">
        <w:rPr>
          <w:rFonts w:ascii="Times New Roman" w:hAnsi="Times New Roman" w:cs="Times New Roman"/>
          <w:sz w:val="24"/>
          <w:szCs w:val="24"/>
        </w:rPr>
        <w:t>, позволяющих ему уверенно развивать сферу применения рассмотренных технологий РБД на отечественном финансовом рынке в форме проекта создания ИПС.</w:t>
      </w:r>
    </w:p>
    <w:p w:rsidR="00B2781A" w:rsidRPr="00935C72" w:rsidRDefault="00B2781A" w:rsidP="00E63B58">
      <w:pPr>
        <w:pStyle w:val="a8"/>
        <w:spacing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076F" w:rsidRPr="00935C72" w:rsidRDefault="0051076F" w:rsidP="00E63B58">
      <w:pPr>
        <w:pStyle w:val="a8"/>
        <w:spacing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C72">
        <w:rPr>
          <w:rFonts w:ascii="Times New Roman" w:hAnsi="Times New Roman" w:cs="Times New Roman"/>
          <w:i/>
          <w:sz w:val="24"/>
          <w:szCs w:val="24"/>
        </w:rPr>
        <w:t>Описание целевой группы участников сервиса</w:t>
      </w:r>
    </w:p>
    <w:p w:rsidR="00C81B90" w:rsidRPr="00935C72" w:rsidRDefault="00C81B90" w:rsidP="001A0313">
      <w:pPr>
        <w:shd w:val="clear" w:color="auto" w:fill="FFFFFF"/>
        <w:tabs>
          <w:tab w:val="left" w:pos="7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Рыночные сегменты потенциальных участников проекта  ИПС включают в себя следующие категории институтов:</w:t>
      </w:r>
    </w:p>
    <w:p w:rsidR="00C81B90" w:rsidRPr="00935C72" w:rsidRDefault="00C81B90" w:rsidP="001A0313">
      <w:pPr>
        <w:tabs>
          <w:tab w:val="left" w:pos="567"/>
          <w:tab w:val="left" w:pos="44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- 26 специализированных депозитариев;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C81B90" w:rsidRPr="00935C72" w:rsidRDefault="00C81B90" w:rsidP="001A03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- 32 регистратора;</w:t>
      </w:r>
    </w:p>
    <w:p w:rsidR="00C81B90" w:rsidRPr="00935C72" w:rsidRDefault="00C81B90" w:rsidP="001A03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- 282 депозитария. </w:t>
      </w:r>
    </w:p>
    <w:p w:rsidR="00C81B90" w:rsidRPr="00935C72" w:rsidRDefault="00C81B90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Продвижение ИПС, как </w:t>
      </w:r>
      <w:r w:rsidRPr="00935C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децентрализованной экосистемы оказания цифровых услуг для клиентов учетных институтов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, способно  значительно повысить востребованность сервисов учетной инфраструктуры.</w:t>
      </w:r>
    </w:p>
    <w:p w:rsidR="00C81B90" w:rsidRPr="00935C72" w:rsidRDefault="00C81B90" w:rsidP="001A0313">
      <w:pPr>
        <w:shd w:val="clear" w:color="auto" w:fill="FFFFFF"/>
        <w:tabs>
          <w:tab w:val="left" w:pos="7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Планируется, что участниками  ИПС станут в  первые 2 года после реализации проекта станут практически  все специализированные учетные институты. </w:t>
      </w:r>
    </w:p>
    <w:p w:rsidR="00C81B90" w:rsidRPr="00935C72" w:rsidRDefault="00C81B90" w:rsidP="00E63B58">
      <w:pPr>
        <w:pStyle w:val="a8"/>
        <w:spacing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4E6" w:rsidRPr="00935C72" w:rsidRDefault="00D914E6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Подробн</w:t>
      </w:r>
      <w:r w:rsidR="00122ACF" w:rsidRPr="00935C72">
        <w:rPr>
          <w:rFonts w:ascii="Times New Roman" w:hAnsi="Times New Roman" w:cs="Times New Roman"/>
          <w:b/>
          <w:sz w:val="24"/>
          <w:szCs w:val="24"/>
        </w:rPr>
        <w:t>ая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 схема целевого бизнес-процесса </w:t>
      </w:r>
      <w:r w:rsidR="00B469E6" w:rsidRPr="00935C72">
        <w:rPr>
          <w:rFonts w:ascii="Times New Roman" w:hAnsi="Times New Roman" w:cs="Times New Roman"/>
          <w:b/>
          <w:sz w:val="24"/>
          <w:szCs w:val="24"/>
        </w:rPr>
        <w:t xml:space="preserve">предоставления (применения) </w:t>
      </w:r>
      <w:r w:rsidRPr="00935C72">
        <w:rPr>
          <w:rFonts w:ascii="Times New Roman" w:hAnsi="Times New Roman" w:cs="Times New Roman"/>
          <w:b/>
          <w:sz w:val="24"/>
          <w:szCs w:val="24"/>
        </w:rPr>
        <w:t>финансового сервиса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8809CD" w:rsidRPr="00935C72">
        <w:rPr>
          <w:rFonts w:ascii="Times New Roman" w:hAnsi="Times New Roman" w:cs="Times New Roman"/>
          <w:b/>
          <w:sz w:val="24"/>
          <w:szCs w:val="24"/>
        </w:rPr>
        <w:t>, а также сценарии предоставления (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применения) финансового сервиса (</w:t>
      </w:r>
      <w:r w:rsidR="008809CD"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8809CD" w:rsidRPr="00935C72">
        <w:rPr>
          <w:rFonts w:ascii="Times New Roman" w:hAnsi="Times New Roman" w:cs="Times New Roman"/>
          <w:b/>
          <w:sz w:val="24"/>
          <w:szCs w:val="24"/>
        </w:rPr>
        <w:t>.</w:t>
      </w:r>
    </w:p>
    <w:p w:rsidR="00CA0B56" w:rsidRPr="00935C72" w:rsidRDefault="008F64E4" w:rsidP="002B776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935C72">
        <w:t xml:space="preserve">     </w:t>
      </w:r>
    </w:p>
    <w:p w:rsidR="00CA0B56" w:rsidRPr="00935C72" w:rsidRDefault="00CA0B56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Предлагаемая схема выпуска акций </w:t>
      </w:r>
      <w:r w:rsidR="00A548C2" w:rsidRPr="00935C72">
        <w:rPr>
          <w:rFonts w:ascii="Times New Roman" w:hAnsi="Times New Roman" w:cs="Times New Roman"/>
          <w:sz w:val="24"/>
          <w:szCs w:val="24"/>
        </w:rPr>
        <w:t xml:space="preserve">посредством ИПС </w:t>
      </w:r>
      <w:r w:rsidRPr="00935C72">
        <w:rPr>
          <w:rFonts w:ascii="Times New Roman" w:hAnsi="Times New Roman" w:cs="Times New Roman"/>
          <w:sz w:val="24"/>
          <w:szCs w:val="24"/>
        </w:rPr>
        <w:t>при учрежден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>, основанная на  предоставлении регистратору документов общества  в электронной форме, представлена на рис. 2.</w:t>
      </w:r>
      <w:r w:rsidRPr="00935C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85FBC" w:rsidRPr="00935C72" w:rsidRDefault="00985FBC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A0B56" w:rsidRPr="00935C72" w:rsidRDefault="00985FBC" w:rsidP="00985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C16A1E" wp14:editId="3B110513">
            <wp:extent cx="5458178" cy="3125543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84" cy="3128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56" w:rsidRPr="00935C72" w:rsidRDefault="00CA0B56" w:rsidP="00CA0B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FC6D44" wp14:editId="6CF8887E">
                <wp:simplePos x="0" y="0"/>
                <wp:positionH relativeFrom="column">
                  <wp:posOffset>621030</wp:posOffset>
                </wp:positionH>
                <wp:positionV relativeFrom="paragraph">
                  <wp:posOffset>73660</wp:posOffset>
                </wp:positionV>
                <wp:extent cx="5334000" cy="342900"/>
                <wp:effectExtent l="0" t="0" r="19050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50BC" w:rsidRPr="00BA4D06" w:rsidRDefault="009550BC" w:rsidP="00CA0B56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A4D06">
                              <w:rPr>
                                <w:color w:val="000000" w:themeColor="text1"/>
                                <w:sz w:val="16"/>
                                <w:szCs w:val="16"/>
                                <w:vertAlign w:val="superscript"/>
                              </w:rPr>
                              <w:t xml:space="preserve">1 </w:t>
                            </w:r>
                            <w:r w:rsidRPr="00BA4D0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СВР – система ведения реестра. Информационная система регистратора, в которой ведется учёт прав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A4D0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на ценные бумаги и регистрируются их выпуски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48.9pt;margin-top:5.8pt;width:420pt;height:2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" filled="f" strokecolor="white [3212]" strokeweight="1pt">
                <v:textbox>
                  <w:txbxContent>
                    <w:p w:rsidR="009550BC" w:rsidRPr="00BA4D06" w:rsidRDefault="009550BC" w:rsidP="00CA0B56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BA4D06">
                        <w:rPr>
                          <w:color w:val="000000" w:themeColor="text1"/>
                          <w:sz w:val="16"/>
                          <w:szCs w:val="16"/>
                          <w:vertAlign w:val="superscript"/>
                        </w:rPr>
                        <w:t xml:space="preserve">1 </w:t>
                      </w:r>
                      <w:r w:rsidRPr="00BA4D06">
                        <w:rPr>
                          <w:color w:val="000000" w:themeColor="text1"/>
                          <w:sz w:val="16"/>
                          <w:szCs w:val="16"/>
                        </w:rPr>
                        <w:t>СВР – система ведения реестра. Информационная система регистратора, в которой ведется учёт прав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BA4D0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на ценные бумаги и регистрируются их выпуски </w:t>
                      </w:r>
                    </w:p>
                  </w:txbxContent>
                </v:textbox>
              </v:rect>
            </w:pict>
          </mc:Fallback>
        </mc:AlternateContent>
      </w:r>
    </w:p>
    <w:p w:rsidR="00CA0B56" w:rsidRPr="00935C72" w:rsidRDefault="00CA0B56" w:rsidP="00CA0B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0B56" w:rsidRPr="00935C72" w:rsidRDefault="00CA0B56" w:rsidP="00CA0B5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i/>
          <w:sz w:val="24"/>
          <w:szCs w:val="24"/>
        </w:rPr>
        <w:t>Рис.2 Регистрация выпуска акций при учреждении АО</w:t>
      </w:r>
    </w:p>
    <w:p w:rsidR="00CA0B56" w:rsidRPr="00935C72" w:rsidRDefault="00CA0B56" w:rsidP="00A54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Предпосылки  цифровизации информации о выпусках акций АО, в том числе при их учреждении,  заключаются в следующих аспектах рассматриваемого вопроса:</w:t>
      </w:r>
    </w:p>
    <w:p w:rsidR="00CA0B56" w:rsidRPr="00935C72" w:rsidRDefault="00CA0B56" w:rsidP="00A548C2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lastRenderedPageBreak/>
        <w:t>Право  подачи документов на создание  АО регистратору в электронном виде;</w:t>
      </w:r>
    </w:p>
    <w:p w:rsidR="00CA0B56" w:rsidRPr="00935C72" w:rsidRDefault="00CA0B56" w:rsidP="00A548C2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Техническая возможность создания распределенной базы данных о выпусках акции зарегистрированных регистраторами;</w:t>
      </w:r>
    </w:p>
    <w:p w:rsidR="00CA0B56" w:rsidRPr="00935C72" w:rsidRDefault="00CA0B56" w:rsidP="00A548C2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Объективная потребность в  доступе к  публичной информации об акционерных обществах, выпуски акций которых зарегистрированы регистраторами, реализуемом с помощью открытого </w:t>
      </w:r>
      <w:r w:rsidRPr="00935C72">
        <w:rPr>
          <w:rFonts w:ascii="Times New Roman" w:hAnsi="Times New Roman" w:cs="Times New Roman"/>
          <w:i/>
          <w:sz w:val="24"/>
          <w:szCs w:val="24"/>
          <w:lang w:val="en-US"/>
        </w:rPr>
        <w:t>API</w:t>
      </w:r>
      <w:r w:rsidRPr="00935C72">
        <w:rPr>
          <w:rStyle w:val="af4"/>
          <w:rFonts w:ascii="Times New Roman" w:hAnsi="Times New Roman" w:cs="Times New Roman"/>
          <w:sz w:val="24"/>
          <w:szCs w:val="24"/>
        </w:rPr>
        <w:footnoteReference w:id="5"/>
      </w:r>
      <w:r w:rsidRPr="00935C72">
        <w:rPr>
          <w:rFonts w:ascii="Times New Roman" w:hAnsi="Times New Roman" w:cs="Times New Roman"/>
          <w:sz w:val="24"/>
          <w:szCs w:val="24"/>
        </w:rPr>
        <w:t>.</w:t>
      </w:r>
    </w:p>
    <w:p w:rsidR="00CA0B56" w:rsidRPr="00935C72" w:rsidRDefault="00CA0B56" w:rsidP="00CA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Все необходимые документы можно будет создать в электронной форме,  типовые образцы которых размещаются на сайте регистратора, который, в свою очередь, будет готов помочь в их заполнении заявителю - вновь создаваемому АО, запросив у него  необходимую информацию.</w:t>
      </w:r>
    </w:p>
    <w:p w:rsidR="00CA0B56" w:rsidRPr="00935C72" w:rsidRDefault="00CA0B56" w:rsidP="00CA0B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С другой стороны, публичный сервис на базе открытого </w:t>
      </w:r>
      <w:r w:rsidRPr="00935C72">
        <w:rPr>
          <w:rFonts w:ascii="Times New Roman" w:hAnsi="Times New Roman" w:cs="Times New Roman"/>
          <w:i/>
          <w:sz w:val="24"/>
          <w:szCs w:val="24"/>
          <w:lang w:val="en-US"/>
        </w:rPr>
        <w:t>API</w:t>
      </w:r>
      <w:r w:rsidRPr="00935C72">
        <w:rPr>
          <w:rFonts w:ascii="Times New Roman" w:hAnsi="Times New Roman" w:cs="Times New Roman"/>
          <w:sz w:val="24"/>
          <w:szCs w:val="24"/>
        </w:rPr>
        <w:t xml:space="preserve"> по получению открытой информации по выпускам акций АО предлагается строить с помощью современных технологий распределения запросов на серверы нод блокчейн-сети. Для конечных потребителей информации,  такой способ хранения информации и обработки их запросов на ее получение имеет  существенные преимущества, основными из которых являются: </w:t>
      </w:r>
    </w:p>
    <w:p w:rsidR="00CA0B56" w:rsidRPr="00935C72" w:rsidRDefault="00CA0B56" w:rsidP="00CA0B56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Наличие круглосуточного доступа  к  необходимой информации по выпускам акций акционерных обществ;</w:t>
      </w:r>
    </w:p>
    <w:p w:rsidR="00CA0B56" w:rsidRPr="00935C72" w:rsidRDefault="00CA0B56" w:rsidP="00CA0B56">
      <w:pPr>
        <w:pStyle w:val="a8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Более быстрое получение информации, за счет территориального распределения серверов (регистраторов) и автоматического перераспределения запросов с помощью динамической нагрузки между ними.</w:t>
      </w:r>
    </w:p>
    <w:p w:rsidR="00CA0B56" w:rsidRPr="00935C72" w:rsidRDefault="00CA0B56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В дальнейшем можно будет дополнить  данный функционал распределенной базы данных машиночитаемой информацией о корпоративных действиях в соответствующих АО, что позволит    интегрировать их в сервисы раскрытия информации, необходимой для участия в процессах функционирования  цифровой экономики, в том числе путем дополнительных выпусков акций АО, размещаемых посредством инвестиционных платформ.    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A0B56" w:rsidRPr="00935C72" w:rsidRDefault="00CA0B56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Процедура регистрации дополнительного выпуска акций согласно ФЗ о краудинвестинге   аналогична процедуре регистрации выпуска при учреждении, но должна иметь своим обязательным следствием их размещение с  использованием услуг оператора инвестиционной платформы.</w:t>
      </w:r>
    </w:p>
    <w:p w:rsidR="00CA0B56" w:rsidRPr="00935C72" w:rsidRDefault="00CA0B56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В том случае, если таким оператором является сам регистратор, регистрирующий дополнительный выпуск акций, издержки на обработку и сверку информации значительно сокращаются вместе с соответствующими операционными  рисками. </w:t>
      </w:r>
    </w:p>
    <w:p w:rsidR="00CA0B56" w:rsidRPr="00935C72" w:rsidRDefault="00CA0B56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Ниже изложен возможный </w:t>
      </w:r>
      <w:r w:rsidR="008066C3" w:rsidRPr="00935C72">
        <w:rPr>
          <w:rFonts w:ascii="Times New Roman" w:hAnsi="Times New Roman" w:cs="Times New Roman"/>
          <w:sz w:val="24"/>
          <w:szCs w:val="24"/>
        </w:rPr>
        <w:t>сценарий</w:t>
      </w:r>
      <w:r w:rsidRPr="00935C72">
        <w:rPr>
          <w:rFonts w:ascii="Times New Roman" w:hAnsi="Times New Roman" w:cs="Times New Roman"/>
          <w:sz w:val="24"/>
          <w:szCs w:val="24"/>
        </w:rPr>
        <w:t xml:space="preserve"> регистрации дополнительного выпуска акций и его размещения посредством услуг оператора инвестплатформы в их логической и информационной взаимосвязи.</w:t>
      </w:r>
    </w:p>
    <w:p w:rsidR="000361FD" w:rsidRPr="00935C72" w:rsidRDefault="000361FD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1. Потенциальны</w:t>
      </w:r>
      <w:r w:rsidR="00DC4BDF">
        <w:rPr>
          <w:rFonts w:ascii="Times New Roman" w:hAnsi="Times New Roman" w:cs="Times New Roman"/>
          <w:sz w:val="24"/>
          <w:szCs w:val="24"/>
        </w:rPr>
        <w:t>й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2E69A3" w:rsidRPr="00935C72">
        <w:rPr>
          <w:rFonts w:ascii="Times New Roman" w:hAnsi="Times New Roman" w:cs="Times New Roman"/>
          <w:sz w:val="24"/>
          <w:szCs w:val="24"/>
        </w:rPr>
        <w:t>реципиент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инвестиций (например, АО)</w:t>
      </w:r>
      <w:r w:rsidR="00CA0B56" w:rsidRPr="00935C72">
        <w:rPr>
          <w:rFonts w:ascii="Times New Roman" w:hAnsi="Times New Roman" w:cs="Times New Roman"/>
          <w:sz w:val="24"/>
          <w:szCs w:val="24"/>
        </w:rPr>
        <w:t xml:space="preserve"> подает заявку оператору  инвестиционной платформы на размещение дополнительного выпуска акций по правилам оператора. </w:t>
      </w:r>
    </w:p>
    <w:p w:rsidR="000361FD" w:rsidRPr="00935C72" w:rsidRDefault="000361FD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2.</w:t>
      </w:r>
      <w:r w:rsidR="005417C8">
        <w:rPr>
          <w:rFonts w:ascii="Times New Roman" w:hAnsi="Times New Roman" w:cs="Times New Roman"/>
          <w:sz w:val="24"/>
          <w:szCs w:val="24"/>
        </w:rPr>
        <w:t xml:space="preserve"> </w:t>
      </w:r>
      <w:r w:rsidR="00CA0B56" w:rsidRPr="00935C72">
        <w:rPr>
          <w:rFonts w:ascii="Times New Roman" w:hAnsi="Times New Roman" w:cs="Times New Roman"/>
          <w:sz w:val="24"/>
          <w:szCs w:val="24"/>
        </w:rPr>
        <w:t>После ее предварительного одобрения оператором, общество регистрирует дополнительный выпуск</w:t>
      </w:r>
      <w:r w:rsidRPr="00935C72">
        <w:rPr>
          <w:rFonts w:ascii="Times New Roman" w:hAnsi="Times New Roman" w:cs="Times New Roman"/>
          <w:sz w:val="24"/>
          <w:szCs w:val="24"/>
        </w:rPr>
        <w:t xml:space="preserve"> акций</w:t>
      </w:r>
      <w:r w:rsidR="00CA0B56" w:rsidRPr="00935C72">
        <w:rPr>
          <w:rFonts w:ascii="Times New Roman" w:hAnsi="Times New Roman" w:cs="Times New Roman"/>
          <w:sz w:val="24"/>
          <w:szCs w:val="24"/>
        </w:rPr>
        <w:t xml:space="preserve"> у регистратора – держателя реестра его акционеров. </w:t>
      </w:r>
    </w:p>
    <w:p w:rsidR="00CA0B56" w:rsidRPr="00935C72" w:rsidRDefault="000361FD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417C8">
        <w:rPr>
          <w:rFonts w:ascii="Times New Roman" w:hAnsi="Times New Roman" w:cs="Times New Roman"/>
          <w:sz w:val="24"/>
          <w:szCs w:val="24"/>
        </w:rPr>
        <w:t xml:space="preserve"> </w:t>
      </w:r>
      <w:r w:rsidR="00CA0B56" w:rsidRPr="00935C72">
        <w:rPr>
          <w:rFonts w:ascii="Times New Roman" w:hAnsi="Times New Roman" w:cs="Times New Roman"/>
          <w:sz w:val="24"/>
          <w:szCs w:val="24"/>
        </w:rPr>
        <w:t>Оператор платформы размещает соответствующее инвестиционное предложение в  закрытом разделе  интерфейса платформы  и информирует потенциальных участников закрытого размещения о его начале, обеспечивая посредством своих сервисов электронное взаимодействие с потенциальными инвесторами. При этом необходимые для выкупа акций средства инвесторов предварительно должны уже быть  размещены на номинальном счете оператора.</w:t>
      </w:r>
    </w:p>
    <w:p w:rsidR="00CA0B56" w:rsidRPr="00935C72" w:rsidRDefault="00271340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4.</w:t>
      </w:r>
      <w:r w:rsidR="005417C8">
        <w:rPr>
          <w:rFonts w:ascii="Times New Roman" w:hAnsi="Times New Roman" w:cs="Times New Roman"/>
          <w:sz w:val="24"/>
          <w:szCs w:val="24"/>
        </w:rPr>
        <w:t xml:space="preserve"> </w:t>
      </w:r>
      <w:r w:rsidR="00CA0B56" w:rsidRPr="00935C72">
        <w:rPr>
          <w:rFonts w:ascii="Times New Roman" w:hAnsi="Times New Roman" w:cs="Times New Roman"/>
          <w:sz w:val="24"/>
          <w:szCs w:val="24"/>
        </w:rPr>
        <w:t xml:space="preserve">После принятия инвестиционного предложения  о покупке акций дополнительного выпуска необходимым для успеха его размещения количеством инвесторов, их средства  в течение трех рабочих дней перечисляются   с </w:t>
      </w:r>
      <w:r w:rsidR="00E8794F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CA0B56" w:rsidRPr="00935C72">
        <w:rPr>
          <w:rFonts w:ascii="Times New Roman" w:hAnsi="Times New Roman" w:cs="Times New Roman"/>
          <w:sz w:val="24"/>
          <w:szCs w:val="24"/>
        </w:rPr>
        <w:t xml:space="preserve"> номинального счета оператора  на расчетный счет  общества и на сайте оператора инвестплатформы размещение объявляется состоявшимся. </w:t>
      </w:r>
    </w:p>
    <w:p w:rsidR="00E8794F" w:rsidRPr="00935C72" w:rsidRDefault="00271340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5.  </w:t>
      </w:r>
      <w:r w:rsidR="00E8794F" w:rsidRPr="00935C72">
        <w:rPr>
          <w:rFonts w:ascii="Times New Roman" w:hAnsi="Times New Roman" w:cs="Times New Roman"/>
          <w:sz w:val="24"/>
          <w:szCs w:val="24"/>
        </w:rPr>
        <w:t xml:space="preserve">Идентификационные данные владельцев </w:t>
      </w:r>
      <w:r w:rsidR="007A6F37" w:rsidRPr="00935C72">
        <w:rPr>
          <w:rFonts w:ascii="Times New Roman" w:hAnsi="Times New Roman" w:cs="Times New Roman"/>
          <w:sz w:val="24"/>
          <w:szCs w:val="24"/>
        </w:rPr>
        <w:t>акций</w:t>
      </w:r>
      <w:r w:rsidRPr="00935C72">
        <w:rPr>
          <w:rFonts w:ascii="Times New Roman" w:hAnsi="Times New Roman" w:cs="Times New Roman"/>
          <w:sz w:val="24"/>
          <w:szCs w:val="24"/>
        </w:rPr>
        <w:t xml:space="preserve"> размещенных посредством услуг оператора инвестплатформы</w:t>
      </w:r>
      <w:r w:rsidR="00E8794F" w:rsidRPr="00935C72">
        <w:rPr>
          <w:rFonts w:ascii="Times New Roman" w:hAnsi="Times New Roman" w:cs="Times New Roman"/>
          <w:sz w:val="24"/>
          <w:szCs w:val="24"/>
        </w:rPr>
        <w:t xml:space="preserve"> (с их согласия) размещается им в РБД ИПС  в виде их электронных профилей. Реестр владельцев </w:t>
      </w:r>
      <w:r w:rsidR="007A6F37" w:rsidRPr="00935C72">
        <w:rPr>
          <w:rFonts w:ascii="Times New Roman" w:hAnsi="Times New Roman" w:cs="Times New Roman"/>
          <w:sz w:val="24"/>
          <w:szCs w:val="24"/>
        </w:rPr>
        <w:t>акций</w:t>
      </w:r>
      <w:r w:rsidR="00E8794F" w:rsidRPr="00935C72">
        <w:rPr>
          <w:rFonts w:ascii="Times New Roman" w:hAnsi="Times New Roman" w:cs="Times New Roman"/>
          <w:sz w:val="24"/>
          <w:szCs w:val="24"/>
        </w:rPr>
        <w:t xml:space="preserve">  ведется </w:t>
      </w:r>
      <w:r w:rsidR="007A6F37" w:rsidRPr="00935C72">
        <w:rPr>
          <w:rFonts w:ascii="Times New Roman" w:hAnsi="Times New Roman" w:cs="Times New Roman"/>
          <w:sz w:val="24"/>
          <w:szCs w:val="24"/>
        </w:rPr>
        <w:t xml:space="preserve">регистратором  общества </w:t>
      </w:r>
      <w:r w:rsidR="00E8794F" w:rsidRPr="00935C72">
        <w:rPr>
          <w:rFonts w:ascii="Times New Roman" w:hAnsi="Times New Roman" w:cs="Times New Roman"/>
          <w:sz w:val="24"/>
          <w:szCs w:val="24"/>
        </w:rPr>
        <w:t xml:space="preserve"> в его  информационной системе. 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56" w:rsidRPr="00935C72" w:rsidRDefault="00D05967" w:rsidP="00CA0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6</w:t>
      </w:r>
      <w:r w:rsidR="00271340" w:rsidRPr="00935C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A0B56" w:rsidRPr="00935C72">
        <w:rPr>
          <w:rFonts w:ascii="Times New Roman" w:hAnsi="Times New Roman" w:cs="Times New Roman"/>
          <w:sz w:val="24"/>
          <w:szCs w:val="24"/>
        </w:rPr>
        <w:t xml:space="preserve">Оператор инвестплатформы, согласно предлагаемому алгоритму, должен будет  оповестить  регистратора общества (если они не совпадают в одном лице) о состоявшемся размещении дополнительного выпуска его акций, а тот, в свою очередь, должен будет внести соответствующую информацию в базу данных о выпусках  акций обслуживаемых им эмитентов и проинформировать  Банк России о результатах размещения дополнительного выпуска акций  общества. </w:t>
      </w:r>
      <w:proofErr w:type="gramEnd"/>
    </w:p>
    <w:p w:rsidR="00CA0B56" w:rsidRPr="00935C72" w:rsidRDefault="00CA0B56" w:rsidP="00EB13B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5C72">
        <w:rPr>
          <w:rFonts w:ascii="Times New Roman" w:hAnsi="Times New Roman" w:cs="Times New Roman"/>
          <w:sz w:val="24"/>
          <w:szCs w:val="24"/>
        </w:rPr>
        <w:t>Предлагаемый</w:t>
      </w:r>
      <w:r w:rsidR="00271340" w:rsidRPr="00935C72">
        <w:rPr>
          <w:rFonts w:ascii="Times New Roman" w:hAnsi="Times New Roman" w:cs="Times New Roman"/>
          <w:sz w:val="24"/>
          <w:szCs w:val="24"/>
        </w:rPr>
        <w:t xml:space="preserve"> в данном сценарии</w:t>
      </w:r>
      <w:r w:rsidRPr="00935C72">
        <w:rPr>
          <w:rFonts w:ascii="Times New Roman" w:hAnsi="Times New Roman" w:cs="Times New Roman"/>
          <w:sz w:val="24"/>
          <w:szCs w:val="24"/>
        </w:rPr>
        <w:t xml:space="preserve"> алгоритм включен в схему функционирования инвестиционной платформы в процессе размещения дополнительного выпуска акций АО,  представленную на рис. 3.</w:t>
      </w:r>
      <w:r w:rsidR="00E8794F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2E69A3" w:rsidRPr="00935C72">
        <w:rPr>
          <w:rFonts w:ascii="Times New Roman" w:hAnsi="Times New Roman" w:cs="Times New Roman"/>
          <w:sz w:val="24"/>
          <w:szCs w:val="24"/>
        </w:rPr>
        <w:t xml:space="preserve">Схожий алгоритм может </w:t>
      </w:r>
      <w:r w:rsidR="002E69A3">
        <w:rPr>
          <w:rFonts w:ascii="Times New Roman" w:hAnsi="Times New Roman" w:cs="Times New Roman"/>
          <w:sz w:val="24"/>
          <w:szCs w:val="24"/>
        </w:rPr>
        <w:t xml:space="preserve">быть </w:t>
      </w:r>
      <w:r w:rsidR="002E69A3" w:rsidRPr="00935C72">
        <w:rPr>
          <w:rFonts w:ascii="Times New Roman" w:hAnsi="Times New Roman" w:cs="Times New Roman"/>
          <w:sz w:val="24"/>
          <w:szCs w:val="24"/>
        </w:rPr>
        <w:t>применен оператором информационной платформы при размещении утилитарных цифровых прав</w:t>
      </w:r>
      <w:r w:rsidR="006D7223">
        <w:rPr>
          <w:rFonts w:ascii="Times New Roman" w:hAnsi="Times New Roman" w:cs="Times New Roman"/>
          <w:sz w:val="24"/>
          <w:szCs w:val="24"/>
        </w:rPr>
        <w:t>.</w:t>
      </w:r>
      <w:r w:rsidR="002E69A3" w:rsidRPr="00935C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0B56" w:rsidRPr="00935C72" w:rsidRDefault="00EB13B0" w:rsidP="00CA0B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89701" wp14:editId="4075D25C">
            <wp:extent cx="5940425" cy="3919220"/>
            <wp:effectExtent l="0" t="0" r="3175" b="508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56" w:rsidRPr="00935C72" w:rsidRDefault="00CA0B56" w:rsidP="00CA0B5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i/>
          <w:sz w:val="24"/>
          <w:szCs w:val="24"/>
        </w:rPr>
        <w:t xml:space="preserve">Рис.3 Функционирование инвестиционной платформы в процессе закрытого размещения дополнительного выпуска акций </w:t>
      </w:r>
    </w:p>
    <w:p w:rsidR="00CA0B56" w:rsidRPr="00935C72" w:rsidRDefault="00CA0B56" w:rsidP="00CA0B5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</w:t>
      </w:r>
    </w:p>
    <w:p w:rsidR="00CA0B56" w:rsidRPr="00935C72" w:rsidRDefault="00CA0B56" w:rsidP="00C8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При этом, в случае совместного использования  технологи</w:t>
      </w:r>
      <w:r w:rsidR="00DC4BDF">
        <w:rPr>
          <w:rFonts w:ascii="Times New Roman" w:hAnsi="Times New Roman" w:cs="Times New Roman"/>
          <w:sz w:val="24"/>
          <w:szCs w:val="24"/>
        </w:rPr>
        <w:t>й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i/>
          <w:sz w:val="24"/>
          <w:szCs w:val="24"/>
        </w:rPr>
        <w:t xml:space="preserve">OpenAPI </w:t>
      </w:r>
      <w:r w:rsidRPr="00935C72">
        <w:rPr>
          <w:rFonts w:ascii="Times New Roman" w:hAnsi="Times New Roman" w:cs="Times New Roman"/>
          <w:sz w:val="24"/>
          <w:szCs w:val="24"/>
        </w:rPr>
        <w:t>и распределенных баз данных, регистраторы в новом своем качестве смогут работать в едином технологическом пространстве, сокращая тем самым издержки на выполнение своих новых функций.</w:t>
      </w:r>
    </w:p>
    <w:p w:rsidR="00CA0B56" w:rsidRPr="00935C72" w:rsidRDefault="00CA0B56" w:rsidP="00C81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Через  инвестиционные платформы можно будет осуществлять  не только размещения  дополнительных выпусков акций.  Они смогут  предоставлять инвесторам (независимо от их принадлежности той или иной юрисдикции) целый ряд дополнительных  возможностей для инвестирования.  А именно привлечение средств на</w:t>
      </w:r>
      <w:r w:rsidR="00F641F6" w:rsidRPr="00935C72">
        <w:rPr>
          <w:rFonts w:ascii="Times New Roman" w:hAnsi="Times New Roman" w:cs="Times New Roman"/>
          <w:sz w:val="24"/>
          <w:szCs w:val="24"/>
        </w:rPr>
        <w:t xml:space="preserve"> следующие цели</w:t>
      </w:r>
      <w:r w:rsidRPr="00935C72">
        <w:rPr>
          <w:rFonts w:ascii="Times New Roman" w:hAnsi="Times New Roman" w:cs="Times New Roman"/>
          <w:sz w:val="24"/>
          <w:szCs w:val="24"/>
        </w:rPr>
        <w:t>:</w:t>
      </w:r>
    </w:p>
    <w:p w:rsidR="00CA0B56" w:rsidRPr="00935C72" w:rsidRDefault="00CA0B56" w:rsidP="00C81B90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формирование  любого имущества,  право 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на которое и сделки с которым </w:t>
      </w:r>
      <w:r w:rsidR="006D7223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>не подлежат  государственной регистрации;</w:t>
      </w:r>
    </w:p>
    <w:p w:rsidR="00CA0B56" w:rsidRPr="00935C72" w:rsidRDefault="00CA0B56" w:rsidP="00C81B90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выполнение работ и оказание услуг; </w:t>
      </w:r>
    </w:p>
    <w:p w:rsidR="00CA0B56" w:rsidRPr="00935C72" w:rsidRDefault="00CA0B56" w:rsidP="00C81B90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создание нематериального актива, регистрируемого в виде авторского права.</w:t>
      </w:r>
    </w:p>
    <w:p w:rsidR="00CA0B56" w:rsidRPr="00935C72" w:rsidRDefault="00CA0B56" w:rsidP="00C81B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Кроме того, на все вышеуказанные виды активов, выпущенные в форме утилитарных цифровых прав,  могут быть оформлены цифровые свидетельства, определенные законодателем в качестве бездокументарных ценных бумаг с соответствующими возможностями организации их учета и обращения (рис.4).</w:t>
      </w:r>
    </w:p>
    <w:p w:rsidR="00CA0B56" w:rsidRPr="00935C72" w:rsidRDefault="00EB13B0" w:rsidP="00CA0B56">
      <w:pPr>
        <w:spacing w:line="36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35C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326D2A" wp14:editId="6F92E090">
            <wp:extent cx="5940425" cy="2859405"/>
            <wp:effectExtent l="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4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B56" w:rsidRPr="00935C72" w:rsidRDefault="00CA0B56" w:rsidP="00CA0B56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i/>
          <w:sz w:val="24"/>
          <w:szCs w:val="24"/>
        </w:rPr>
        <w:t>Рис. 4  Взаимодействие оператора инвестплатформы с учетными институтами</w:t>
      </w:r>
    </w:p>
    <w:p w:rsidR="00CA0B56" w:rsidRPr="00935C72" w:rsidRDefault="00CA0B56" w:rsidP="00CA0B56">
      <w:pPr>
        <w:pStyle w:val="a8"/>
        <w:spacing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1378" w:rsidRPr="00935C72" w:rsidRDefault="004A0BB0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К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>лючевы</w:t>
      </w:r>
      <w:r w:rsidRPr="00935C72">
        <w:rPr>
          <w:rFonts w:ascii="Times New Roman" w:hAnsi="Times New Roman" w:cs="Times New Roman"/>
          <w:b/>
          <w:sz w:val="24"/>
          <w:szCs w:val="24"/>
        </w:rPr>
        <w:t>е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 xml:space="preserve"> отличи</w:t>
      </w:r>
      <w:r w:rsidRPr="00935C72">
        <w:rPr>
          <w:rFonts w:ascii="Times New Roman" w:hAnsi="Times New Roman" w:cs="Times New Roman"/>
          <w:b/>
          <w:sz w:val="24"/>
          <w:szCs w:val="24"/>
        </w:rPr>
        <w:t>я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едлагаемого финансового сервиса (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 xml:space="preserve"> от предоставляемых (применяемых) на финансовом рынке аналогов.</w:t>
      </w:r>
    </w:p>
    <w:p w:rsidR="006E69DA" w:rsidRPr="00935C72" w:rsidRDefault="006E69DA" w:rsidP="00E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19C2" w:rsidRPr="00935C72" w:rsidRDefault="00A65A4F" w:rsidP="0024168F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учетной системе финансового рынка, как его отрасли, уже  несколько лет наблюдается устойчивое падение объема и стоимости оказываемых регистраторами и депозитариями учетных услуг  в результате  снижения количества  их  традиционных потребителей: эмитентов ценных бумаг,  институциональных и иных  инвесторов, что отражено в Докладах регулятора финансового рынка опубликованных в 2016 и 2018 гг. и в ежегодных аналитических исследования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Профессиональной ассоциации регистраторов, трансфер-агентов и депозитариев (ПАРТАД).  </w:t>
      </w:r>
    </w:p>
    <w:p w:rsidR="003319C2" w:rsidRPr="00935C72" w:rsidRDefault="003319C2" w:rsidP="0024168F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gramStart"/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этих обстоятельствах, </w:t>
      </w:r>
      <w:r w:rsidR="00935C7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работающие в условиях конкуренции не только между собой, но и с центральным депозитарием (НКО НРД),  инфраструктурные организации рыночного типа стремятся  перейти от оказания клиенту (эмитенту финансовых инструментов, как реципиенту инвестиций) «просто» учетных услуг, -  к созданию вокруг него среды, способствующей получению им как основных, так и дополнительных корпоративных сервисов в максимально удобной ему форме, при сохранении  конкурентной  основы</w:t>
      </w:r>
      <w:proofErr w:type="gramEnd"/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оказания. </w:t>
      </w:r>
    </w:p>
    <w:p w:rsidR="003319C2" w:rsidRPr="00935C72" w:rsidRDefault="003319C2" w:rsidP="0024168F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оператора информационной платформы, предоставляемые как существующим, так и новым клиентам (реципиентам инвестиций) нынешних регистраторов и депозитариев, способны расширить доходную базу  деятельности учетных институтов и способствовать модернизации  в среднесрочной перспективе их услуг на рынке классических ценных бумаг. </w:t>
      </w:r>
    </w:p>
    <w:p w:rsidR="008E4EE4" w:rsidRPr="00935C72" w:rsidRDefault="00A65A4F" w:rsidP="008E4EE4">
      <w:pPr>
        <w:shd w:val="clear" w:color="auto" w:fill="FFFFFF"/>
        <w:tabs>
          <w:tab w:val="left" w:pos="8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8E4EE4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 Предметом  деятельности заявителя по проекту ИПС является создание технологической основы для функционирования  операторов инвестиционных платформ, созданных на базе регистраторов и депозитариев - участников рынка ценных бумаг.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Аналоги данного проекта на момент подачи Заявления отсутствуют.</w:t>
      </w:r>
    </w:p>
    <w:p w:rsidR="008E4EE4" w:rsidRPr="00935C72" w:rsidRDefault="008E4EE4" w:rsidP="008E4EE4">
      <w:pPr>
        <w:shd w:val="clear" w:color="auto" w:fill="FFFFFF"/>
        <w:tabs>
          <w:tab w:val="left" w:pos="8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65A4F" w:rsidRPr="00935C72">
        <w:rPr>
          <w:rFonts w:ascii="Times New Roman" w:hAnsi="Times New Roman" w:cs="Times New Roman"/>
          <w:color w:val="000000"/>
          <w:sz w:val="24"/>
          <w:szCs w:val="24"/>
        </w:rPr>
        <w:t>Важной отличительной чертой проекта ИПС является то, что б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локчейн-сеть,  администрируемая </w:t>
      </w:r>
      <w:r w:rsidR="00A65A4F" w:rsidRPr="00935C7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>аявителем, как головной нодой,  и состоящая из нод участников рынка будет формировать РБД выпусков финансовых инструментов</w:t>
      </w:r>
      <w:r w:rsidR="002B4E1D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регистрируемых  операторами инвестиционных платформ</w:t>
      </w:r>
      <w:r w:rsidR="002B4E1D" w:rsidRPr="00935C72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регистраторами, и РБД информации об активах принадлежащих владельцам личных кабинетов на ИПС,  с разграничениями доступа к этой информации в соответствии с требованиями информационной безопасности и защиты персональных данных.</w:t>
      </w:r>
    </w:p>
    <w:p w:rsidR="008E4EE4" w:rsidRPr="00935C72" w:rsidRDefault="008E4EE4" w:rsidP="002416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999" w:rsidRPr="00935C72" w:rsidRDefault="004A0BB0" w:rsidP="001F6999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П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>отенциальны</w:t>
      </w:r>
      <w:r w:rsidRPr="00935C72">
        <w:rPr>
          <w:rFonts w:ascii="Times New Roman" w:hAnsi="Times New Roman" w:cs="Times New Roman"/>
          <w:b/>
          <w:sz w:val="24"/>
          <w:szCs w:val="24"/>
        </w:rPr>
        <w:t>е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 xml:space="preserve"> преимуществ</w:t>
      </w:r>
      <w:r w:rsidRPr="00935C72">
        <w:rPr>
          <w:rFonts w:ascii="Times New Roman" w:hAnsi="Times New Roman" w:cs="Times New Roman"/>
          <w:b/>
          <w:sz w:val="24"/>
          <w:szCs w:val="24"/>
        </w:rPr>
        <w:t>а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 xml:space="preserve"> финансового сервиса (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 xml:space="preserve"> для участников финансового рынка (например, в части доступности, качества 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и стоимости финансового сервиса (</w:t>
      </w:r>
      <w:r w:rsidR="00D914E6" w:rsidRPr="00935C72">
        <w:rPr>
          <w:rFonts w:ascii="Times New Roman" w:hAnsi="Times New Roman" w:cs="Times New Roman"/>
          <w:b/>
          <w:sz w:val="24"/>
          <w:szCs w:val="24"/>
        </w:rPr>
        <w:t>технологии).</w:t>
      </w:r>
    </w:p>
    <w:p w:rsidR="001F6999" w:rsidRPr="00935C72" w:rsidRDefault="001F6999" w:rsidP="001F6999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999" w:rsidRPr="00935C72" w:rsidRDefault="001F6999" w:rsidP="001F6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Заявителем предлагается отраслевое платформенное решение</w:t>
      </w:r>
      <w:r w:rsidR="002B4E1D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отношении деятельности </w:t>
      </w:r>
      <w:r w:rsidR="00F641F6" w:rsidRPr="00935C7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ператоров инвестиционных платформ, к реализации которого привлекаются регистраторы и депозитарии рынка ценных бумаг.</w:t>
      </w:r>
    </w:p>
    <w:p w:rsidR="0024168F" w:rsidRPr="00935C72" w:rsidRDefault="001F6999" w:rsidP="001F6999">
      <w:pPr>
        <w:shd w:val="clear" w:color="auto" w:fill="FFFFFF"/>
        <w:tabs>
          <w:tab w:val="left" w:pos="80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E69A3" w:rsidRPr="00935C72">
        <w:rPr>
          <w:rFonts w:ascii="Times New Roman" w:hAnsi="Times New Roman" w:cs="Times New Roman"/>
          <w:color w:val="000000"/>
          <w:sz w:val="24"/>
          <w:szCs w:val="24"/>
        </w:rPr>
        <w:t>Предлагаемая к рассмотрению концепция ИПС и прототипы ее технологических решений исходит из принадлежности платформы  всем заинтересованным участникам рынка</w:t>
      </w:r>
      <w:r w:rsidR="002E69A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E69A3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инвестирующим в ее развитие, и ориентирована не на продажу тех или иных финансовых продуктов неопределенному круг лиц, а,  в первую очередь, на содействие третьим лицам в выпуске финансовых инструментов и учете результатов их размещения,  с обеспечением онлайн доступа инвесторов к информации о </w:t>
      </w:r>
      <w:r w:rsidR="0024168F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состоянии своих активов. </w:t>
      </w:r>
    </w:p>
    <w:p w:rsidR="0024168F" w:rsidRPr="00935C72" w:rsidRDefault="008E4EE4" w:rsidP="008E4E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="0024168F" w:rsidRPr="00935C72">
        <w:rPr>
          <w:rFonts w:ascii="Times New Roman" w:hAnsi="Times New Roman" w:cs="Times New Roman"/>
          <w:color w:val="000000"/>
          <w:sz w:val="24"/>
          <w:szCs w:val="24"/>
        </w:rPr>
        <w:t>Основным преимуществом проекта ИПС заявителя по отношению к неопределенному кругу</w:t>
      </w:r>
      <w:r w:rsidR="00074F08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24168F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вновь создающихся  операторов инвестплатформ,  является </w:t>
      </w:r>
      <w:r w:rsidR="00074F08" w:rsidRPr="00935C72">
        <w:rPr>
          <w:rFonts w:ascii="Times New Roman" w:hAnsi="Times New Roman" w:cs="Times New Roman"/>
          <w:color w:val="000000"/>
          <w:sz w:val="24"/>
          <w:szCs w:val="24"/>
        </w:rPr>
        <w:t>25-</w:t>
      </w:r>
      <w:r w:rsidR="0024168F" w:rsidRPr="00935C72">
        <w:rPr>
          <w:rFonts w:ascii="Times New Roman" w:hAnsi="Times New Roman" w:cs="Times New Roman"/>
          <w:color w:val="000000"/>
          <w:sz w:val="24"/>
          <w:szCs w:val="24"/>
        </w:rPr>
        <w:t>летний специализированный опыт работы в учетной системе, в то время как иные предпринимательские проекты в этой сфере будут носить значительно более рискованный характер с точки зрения  надежности для Реципиентов инвестиций и Инвесторов,  не будучи основаны на соответствующем опыте обслуживания  эмитентов  финансовых инструментов.</w:t>
      </w:r>
      <w:proofErr w:type="gramEnd"/>
    </w:p>
    <w:p w:rsidR="003319C2" w:rsidRPr="00935C72" w:rsidRDefault="008F64E4" w:rsidP="008E4EE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E4EE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8E4EE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>Возможность выбора и использования Реципиентами инвестиций и  Инвесторами  стандартизированных онлайн-сервисов большой группы Операторов инвестплатформ без посещения им</w:t>
      </w:r>
      <w:r w:rsidR="001A0313" w:rsidRPr="00935C7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их офисов   способна  повысить   доступность и привлекательность  рынка как вновь регистрируемых ими выпусков ценных бумаг, так и УЦП. Для того чтобы выйти на дорогу технологической консолидации учетной инфраструктуры, позволяющей, с одной стороны, продолжать предоставлять ее сервисы в современном формате и на конкурентной основе, а с другой, – пропорционально масштабам бизнеса распределить 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издержки инноваций, необходимо использовать возможности, предоставляемые цифровыми технологиями, в первую очередь технологиями распределенных баз данных или распределенного реестра.</w:t>
      </w:r>
    </w:p>
    <w:p w:rsidR="003319C2" w:rsidRPr="00935C72" w:rsidRDefault="003319C2" w:rsidP="008E4EE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E4EE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2E69A3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Поэтому </w:t>
      </w:r>
      <w:r w:rsidR="002E69A3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2E69A3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аявителем предлагается изначально строить систему оказания услуг Операторов инвестиционных платформ, посредством создания единой технологической платформы услуг учетных институтов  поддерживающей,  в частности, интегрированный интерфейс ИПС, </w:t>
      </w:r>
      <w:r w:rsidR="002E69A3" w:rsidRPr="00935C7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как агрегатора услуг операторов инвестиционных платформ</w:t>
      </w:r>
      <w:r w:rsidR="002E69A3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последующий унифицированный документооборот  между Реципиентами инвестиций и Операторами, и между Инвесторами и Операторами. По замыслу заявителя функции нод блокчейн-сети, обеспечивающей соответствие инвестплатформ Операторов  требованиям ФЗ-259 будут выполнять сами Операторы инвестиционных платформ</w:t>
      </w:r>
      <w:r w:rsidR="002E6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69A3" w:rsidRPr="00935C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E69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69A3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участники ИПС.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этом заключается одна из основных инноваций предлагаемого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заявителем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решения поставленных  выше проблем.</w:t>
      </w:r>
    </w:p>
    <w:p w:rsidR="003319C2" w:rsidRPr="00935C72" w:rsidRDefault="003319C2" w:rsidP="008E4EE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E4EE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опыта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созданию и поддержанию технологической основы  функционирования  электронной  системы взаимодействия регистраторов и трансфер-агентов (СТАР) и осуществления им в 2018 - 19 гг.  пилотных проектов в сфере финансовых технологий,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заявителем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предлагается создание ИПС как технологической  платформы для цифровых сервисов  учетных институтов, т.е. реализуется один из признанных  Банком России для применения на финансовом рынке способов применения облачных технологий  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PaaS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Platform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as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a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Service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</w:p>
    <w:p w:rsidR="003319C2" w:rsidRPr="00935C72" w:rsidRDefault="003319C2" w:rsidP="008E4EE4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8E4EE4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мнению 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,  построение инвестиционных (операционных) платформ соответствующих  Операторов (учетных институтов) на базе ИПС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использованием технологий распределенного реестра  даст участникам процесса инвестирования следующие преимущества.</w:t>
      </w:r>
    </w:p>
    <w:p w:rsidR="003319C2" w:rsidRPr="00935C72" w:rsidRDefault="003319C2" w:rsidP="00E63B58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Преимущества для инвесторов: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1. Возможность осознанно выбрать объект инвестирования, информация о котором раскрыта в соответствии с требованиями ФЗ -259;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2. Оценка проектов и проверка информации, раскрываемой их инициаторами,  учетными институтами, лицензируемыми Банком России, снижает риски инвесторов;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3. Надежность учета инвестиционных, в т.ч. цифровых, прав инвесторов, который  осуществляется специализированными учетными институтами.</w:t>
      </w:r>
    </w:p>
    <w:p w:rsidR="003319C2" w:rsidRPr="00935C72" w:rsidRDefault="003319C2" w:rsidP="001A031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Преимущества для учетных институтов: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1. Новое направление предпринимательской деятельности;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2. Дополнительный сервис для имеющейся клиентской базы регистратора/депозитария и создание предпосылок для ее наращивания.</w:t>
      </w:r>
    </w:p>
    <w:p w:rsidR="003319C2" w:rsidRPr="00935C72" w:rsidRDefault="003319C2" w:rsidP="001A0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Преимущества для регулирующего органа: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1. Возможность мониторинга процесса краудинвестинга изнутри технологической платформы в качестве «легкой» ноды блокчейн-сети.</w:t>
      </w:r>
    </w:p>
    <w:p w:rsidR="003447BF" w:rsidRPr="00935C72" w:rsidRDefault="003447BF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Преимущества для клиентов учетных институтов – операторов инвестиционных платформ: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1. Возможность привлечения финансирования на более выгодных условиях и в более короткие сроки по сравнению с банковскими кредитами и биржевыми размещениями ценных бумаг;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2. Большая аудитория потенциальных инвесторов;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3. Возможность получения  дополнительного сервиса у своих регистраторов/спецдепозитариев на стандартизированных  условиях;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4. Возможность получения дополнительного финансирования в ходе реализации проекта, что не всегда возможно при банковском кредитовании.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Кроме того, впервые на российском финансовом рынке в рамках технологической платформы, как сервиса для Операторов инвестиционных платформ/учетных институтов, это позволит решить и  проблему «одного окна» для доступа Инвесторов к информации об их активах, учет прав на которые осуществляют различные учетные институты. В свою очередь,  в среднесрочной перспективе на этой основе у  Инвестора появится возможность  распоряжаться указанными активами с использованием данных или сервисов своего личного кабинета на ИПС. </w:t>
      </w:r>
    </w:p>
    <w:p w:rsidR="003319C2" w:rsidRPr="00935C72" w:rsidRDefault="004A7C8C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Заявитель</w:t>
      </w:r>
      <w:r w:rsidR="003319C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полагает, что на основе  изменений законодательства учетные институты и, в первую очередь, регистраторы, получили  возможность, начиная 2020 г., значительно расширить свою деятельность на корпоративном поле,  способствуя привлечению инвестиций в предприятия малого и среднего бизнеса, включая возможность регистрации выпусков акции при учреждении акционерных обществ (АО) и регистрацию  дополнительных выпусков акции при размещении их на своей инвестиционной  платформе.</w:t>
      </w:r>
    </w:p>
    <w:p w:rsidR="003319C2" w:rsidRPr="00935C72" w:rsidRDefault="003319C2" w:rsidP="001A0313">
      <w:pPr>
        <w:shd w:val="clear" w:color="auto" w:fill="FFFFFF"/>
        <w:tabs>
          <w:tab w:val="left" w:pos="845"/>
        </w:tabs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Таким образом, регистратор, который получит статус оператора инвестиционной платформы, получает возможность сопровождать эмитента во всей цепочке привлечения инвестиций в акционерный капитал: от первоначального формиро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softHyphen/>
        <w:t xml:space="preserve">вания уставного капитала до последующих  докапитализаций  АО. </w:t>
      </w:r>
    </w:p>
    <w:p w:rsidR="003319C2" w:rsidRPr="00935C72" w:rsidRDefault="003319C2" w:rsidP="001A03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074F08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В свою очередь, депозитарии имеет возможность на основе аккумулирования в их руках УЦП выпускать цифровые свидетельства как неэмиссионные ценные бумаги, которые могут обращаться на организованных рынках ценных бумаг.</w:t>
      </w:r>
    </w:p>
    <w:p w:rsidR="003319C2" w:rsidRPr="00935C72" w:rsidRDefault="003319C2" w:rsidP="00E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261" w:rsidRPr="00935C72" w:rsidRDefault="00A36B8D" w:rsidP="004B1399">
      <w:pPr>
        <w:pStyle w:val="a8"/>
        <w:numPr>
          <w:ilvl w:val="0"/>
          <w:numId w:val="9"/>
        </w:numPr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Потенциальные риски предоставления (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применения) финансового сервиса (</w:t>
      </w:r>
      <w:r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 (риски для </w:t>
      </w:r>
      <w:r w:rsidR="001D7C06" w:rsidRPr="00935C72">
        <w:rPr>
          <w:rFonts w:ascii="Times New Roman" w:hAnsi="Times New Roman" w:cs="Times New Roman"/>
          <w:b/>
          <w:sz w:val="24"/>
          <w:szCs w:val="24"/>
        </w:rPr>
        <w:t>участников финансового рынка</w:t>
      </w:r>
      <w:r w:rsidRPr="00935C72">
        <w:rPr>
          <w:rFonts w:ascii="Times New Roman" w:hAnsi="Times New Roman" w:cs="Times New Roman"/>
          <w:b/>
          <w:sz w:val="24"/>
          <w:szCs w:val="24"/>
        </w:rPr>
        <w:t>,</w:t>
      </w:r>
      <w:r w:rsidR="00E56421" w:rsidRPr="00935C72">
        <w:rPr>
          <w:rFonts w:ascii="Times New Roman" w:hAnsi="Times New Roman" w:cs="Times New Roman"/>
          <w:b/>
          <w:sz w:val="24"/>
          <w:szCs w:val="24"/>
        </w:rPr>
        <w:t xml:space="preserve"> риски информационной безопасности,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 риски нарушения требований законодательства Российской Федерации, иные риски </w:t>
      </w:r>
      <w:r w:rsidR="00860295" w:rsidRPr="00935C7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5C72">
        <w:rPr>
          <w:rFonts w:ascii="Times New Roman" w:hAnsi="Times New Roman" w:cs="Times New Roman"/>
          <w:b/>
          <w:sz w:val="24"/>
          <w:szCs w:val="24"/>
        </w:rPr>
        <w:t>при наличии), а также способы их снижения.</w:t>
      </w:r>
    </w:p>
    <w:p w:rsidR="001F6999" w:rsidRPr="00935C72" w:rsidRDefault="001F6999" w:rsidP="001F6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  Риски информационной безопасности, риски нарушения требований законодательства Российской Федерации и операционные риски</w:t>
      </w:r>
      <w:r w:rsidR="002B4E1D" w:rsidRPr="00935C72"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возникающие при реализации функций операторов инвестиционных платформ </w:t>
      </w:r>
      <w:r w:rsidR="002B4E1D" w:rsidRPr="00935C72">
        <w:rPr>
          <w:rFonts w:ascii="Times New Roman" w:hAnsi="Times New Roman" w:cs="Times New Roman"/>
          <w:sz w:val="24"/>
          <w:szCs w:val="24"/>
        </w:rPr>
        <w:t xml:space="preserve">реализуемые с использованием сервисов ИПС </w:t>
      </w:r>
      <w:r w:rsidRPr="00935C72">
        <w:rPr>
          <w:rFonts w:ascii="Times New Roman" w:hAnsi="Times New Roman" w:cs="Times New Roman"/>
          <w:sz w:val="24"/>
          <w:szCs w:val="24"/>
        </w:rPr>
        <w:t xml:space="preserve">в значительной мере сопоставимы  по своим масштабам и последствиям реализации </w:t>
      </w:r>
      <w:r w:rsidR="002B4E1D" w:rsidRPr="00935C72">
        <w:rPr>
          <w:rFonts w:ascii="Times New Roman" w:hAnsi="Times New Roman" w:cs="Times New Roman"/>
          <w:sz w:val="24"/>
          <w:szCs w:val="24"/>
        </w:rPr>
        <w:t xml:space="preserve">с </w:t>
      </w:r>
      <w:r w:rsidRPr="00935C72">
        <w:rPr>
          <w:rFonts w:ascii="Times New Roman" w:hAnsi="Times New Roman" w:cs="Times New Roman"/>
          <w:sz w:val="24"/>
          <w:szCs w:val="24"/>
        </w:rPr>
        <w:t>тем</w:t>
      </w:r>
      <w:r w:rsidR="002B4E1D" w:rsidRPr="00935C72">
        <w:rPr>
          <w:rFonts w:ascii="Times New Roman" w:hAnsi="Times New Roman" w:cs="Times New Roman"/>
          <w:sz w:val="24"/>
          <w:szCs w:val="24"/>
        </w:rPr>
        <w:t>и</w:t>
      </w:r>
      <w:r w:rsidRPr="00935C72">
        <w:rPr>
          <w:rFonts w:ascii="Times New Roman" w:hAnsi="Times New Roman" w:cs="Times New Roman"/>
          <w:sz w:val="24"/>
          <w:szCs w:val="24"/>
        </w:rPr>
        <w:t xml:space="preserve"> рискам</w:t>
      </w:r>
      <w:r w:rsidR="002B4E1D" w:rsidRPr="00935C72"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которыми регистраторы и депозитарии </w:t>
      </w:r>
      <w:r w:rsidR="002B4E1D" w:rsidRPr="00935C72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Pr="00935C72">
        <w:rPr>
          <w:rFonts w:ascii="Times New Roman" w:hAnsi="Times New Roman" w:cs="Times New Roman"/>
          <w:sz w:val="24"/>
          <w:szCs w:val="24"/>
        </w:rPr>
        <w:t>управляют в рамках своей деятельности профессиональн</w:t>
      </w:r>
      <w:r w:rsidR="002B4E1D" w:rsidRPr="00935C72">
        <w:rPr>
          <w:rFonts w:ascii="Times New Roman" w:hAnsi="Times New Roman" w:cs="Times New Roman"/>
          <w:sz w:val="24"/>
          <w:szCs w:val="24"/>
        </w:rPr>
        <w:t>ых участников рынка ценных бумаг</w:t>
      </w:r>
      <w:r w:rsidRPr="00935C72">
        <w:rPr>
          <w:rFonts w:ascii="Times New Roman" w:hAnsi="Times New Roman" w:cs="Times New Roman"/>
          <w:sz w:val="24"/>
          <w:szCs w:val="24"/>
        </w:rPr>
        <w:t>.</w:t>
      </w:r>
    </w:p>
    <w:p w:rsidR="002B4E1D" w:rsidRDefault="002B4E1D" w:rsidP="001F6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  В качестве ключевых средств обеспечения информационной безопасности используемых заявителем следует рассматривать применение им сертифицированных криптографических средств защиты и информации и каналов ее передачи, а также закрытый характер блокчейн-сети, нодами которой являются </w:t>
      </w:r>
      <w:r w:rsidR="00935C72" w:rsidRPr="00935C72">
        <w:rPr>
          <w:rFonts w:ascii="Times New Roman" w:hAnsi="Times New Roman" w:cs="Times New Roman"/>
          <w:sz w:val="24"/>
          <w:szCs w:val="24"/>
        </w:rPr>
        <w:t>(кроме З</w:t>
      </w:r>
      <w:r w:rsidRPr="00935C72">
        <w:rPr>
          <w:rFonts w:ascii="Times New Roman" w:hAnsi="Times New Roman" w:cs="Times New Roman"/>
          <w:sz w:val="24"/>
          <w:szCs w:val="24"/>
        </w:rPr>
        <w:t>аявителя</w:t>
      </w:r>
      <w:r w:rsidR="00935C72" w:rsidRPr="00935C72">
        <w:rPr>
          <w:rFonts w:ascii="Times New Roman" w:hAnsi="Times New Roman" w:cs="Times New Roman"/>
          <w:sz w:val="24"/>
          <w:szCs w:val="24"/>
        </w:rPr>
        <w:t>)</w:t>
      </w:r>
      <w:r w:rsidRPr="00935C72">
        <w:rPr>
          <w:rFonts w:ascii="Times New Roman" w:hAnsi="Times New Roman" w:cs="Times New Roman"/>
          <w:sz w:val="24"/>
          <w:szCs w:val="24"/>
        </w:rPr>
        <w:t xml:space="preserve"> только сами учетные институты –</w:t>
      </w:r>
      <w:r w:rsidR="001E26B9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 xml:space="preserve">операторы информационных платформ. </w:t>
      </w:r>
    </w:p>
    <w:p w:rsidR="009D64BB" w:rsidRPr="00935C72" w:rsidRDefault="009D64BB" w:rsidP="001F69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47BF" w:rsidRPr="00935C72" w:rsidRDefault="008E4EE4" w:rsidP="00E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C72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712261" w:rsidRPr="00935C72" w:rsidRDefault="00FE6071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A36B8D" w:rsidRPr="00935C72">
        <w:rPr>
          <w:rFonts w:ascii="Times New Roman" w:hAnsi="Times New Roman" w:cs="Times New Roman"/>
          <w:b/>
          <w:sz w:val="24"/>
          <w:szCs w:val="24"/>
        </w:rPr>
        <w:t>лияни</w:t>
      </w:r>
      <w:r w:rsidRPr="00935C72">
        <w:rPr>
          <w:rFonts w:ascii="Times New Roman" w:hAnsi="Times New Roman" w:cs="Times New Roman"/>
          <w:b/>
          <w:sz w:val="24"/>
          <w:szCs w:val="24"/>
        </w:rPr>
        <w:t>е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 xml:space="preserve"> финансового сервиса (</w:t>
      </w:r>
      <w:r w:rsidR="00A36B8D"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A36B8D" w:rsidRPr="00935C72">
        <w:rPr>
          <w:rFonts w:ascii="Times New Roman" w:hAnsi="Times New Roman" w:cs="Times New Roman"/>
          <w:b/>
          <w:sz w:val="24"/>
          <w:szCs w:val="24"/>
        </w:rPr>
        <w:t xml:space="preserve"> на финансовый рынок в зависимости от размера сегмента, в котором он предоставляется (применяется) (весь рынок, сектор рынка или отдельная организация).</w:t>
      </w:r>
    </w:p>
    <w:p w:rsidR="003447BF" w:rsidRPr="00935C72" w:rsidRDefault="003447BF" w:rsidP="001A0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2D42" w:rsidRPr="00935C72" w:rsidRDefault="001A0313" w:rsidP="001A0313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F2D4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Проблема, решаемая посредством проекта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="006F2D42" w:rsidRPr="00935C72">
        <w:rPr>
          <w:rFonts w:ascii="Times New Roman" w:eastAsia="Times New Roman" w:hAnsi="Times New Roman" w:cs="Times New Roman"/>
          <w:bCs/>
          <w:sz w:val="24"/>
          <w:szCs w:val="24"/>
        </w:rPr>
        <w:t>, имеет двоякий характер.</w:t>
      </w:r>
    </w:p>
    <w:p w:rsidR="006F2D42" w:rsidRPr="00935C72" w:rsidRDefault="006F2D42" w:rsidP="001A0313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С одной стороны, в учетной системе финансового рынка, как его отрасли, уже  несколько лет наблюдается устойчивое падение объема и стоимости оказываемых регистраторами и депозитариями учетных услуг  в результате  снижения количества  их  традиционных потребителей: эмитентов ценных бумаг,  институциональных и иных  инвесторов, что отражено в Докладах регулятора финансового рынка опубликованных в 2016 и 2018 гг. и в ежегодных аналитических исследования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Профессиональной ассоциации регистраторов, трансфер-агентов и депозитариев (ПАРТАД).  </w:t>
      </w:r>
    </w:p>
    <w:p w:rsidR="006F2D42" w:rsidRPr="00935C72" w:rsidRDefault="006F2D42" w:rsidP="001A0313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этих обстоятельствах, работающие в условиях конкуренции не только между собой, но и с центральным депозитарием (НКО НРД),  инфраструктурные организации рыночного типа стремятся  перейти от оказания клиенту (эмитенту финансовых инструментов, как реципиенту инвестиций) «просто» учетных услуг, -  к созданию вокруг него среды, способствующей получению им как основных, так и дополнительных корпоративных сервисов  в максимально удобной ему форме, при сохранении  конкурентной  основы их оказания. </w:t>
      </w:r>
    </w:p>
    <w:p w:rsidR="006F2D42" w:rsidRPr="00935C72" w:rsidRDefault="006F2D42" w:rsidP="001A0313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оператора информационной платформы, предоставляемые как существующим, так и новым клиентам (реципиентам инвестиций)  нынешних регистраторов и депозитариев, способны расширить доходную базу  деятельности учетных институтов и способствовать модернизации  в среднесрочной перспективе их услуг на рынке классических ценных бумаг. </w:t>
      </w:r>
    </w:p>
    <w:p w:rsidR="006F2D42" w:rsidRPr="00935C72" w:rsidRDefault="006F2D42" w:rsidP="001A0313">
      <w:pPr>
        <w:shd w:val="clear" w:color="auto" w:fill="FFFFFF"/>
        <w:tabs>
          <w:tab w:val="left" w:pos="8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Таким образом, создание </w:t>
      </w:r>
      <w:r w:rsidR="001E26B9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1E26B9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аявителем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программно–технического комплекса  (ПТК)  предоставляло бы использующему его учетному институту техническую возможность выполнять функции оператора инвестплатформы на индивидуальной основе,  </w:t>
      </w:r>
      <w:r w:rsidR="001E26B9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что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позволило бы ему  незамедлительно приступить к ее качественной реализации. Но это не решило бы проблему инвестора,  приобретшему акции или УЦП у разных операторов,  по  онлайн-доступу к информации о своих активах по принципу «одного окна». </w:t>
      </w:r>
      <w:proofErr w:type="gramStart"/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Именно разрозненность доступа к услугам различных учетных институтов для лиц, владеющих ценными бумагами нескольких эмитентов, реестры владельцев ценных бумаг которых по-разному ведутся разными регистраторами,  способствовала тому, что огромное количество ликвидных ценных бумаг ныне сконцентрировано  в центральном депозитарии и операции с ними осуществляются НКО НРД, значительно сократив доходы учетных институтов от перерегистрации прав собственности на ценные бумаги.</w:t>
      </w:r>
      <w:proofErr w:type="gramEnd"/>
    </w:p>
    <w:p w:rsidR="006F2D42" w:rsidRDefault="001A0313" w:rsidP="001A0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F2D4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другой стороны, индивидуальные затраты каждого из будущих операторов инвестплатформ на ПТК можно существенно снизить, а единую точку доступа  Инвестора к информации о приобретенных им посредством услуг различных Операторов  активах, -  обеспечить, если предложить вновь формирующейся отрасли услуг Операторов инвестплатформ  общее для учетных институтов финансового рынка технологическое решение. В предлагаемой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заявителем</w:t>
      </w:r>
      <w:r w:rsidR="006F2D4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форме оно также позволит как соблюсти требования ФЗ-259 по использованию Операторами инвестплатформ технологий распределенного реестра, предполагающих распределение информации о привлеченных инвестициях и инвесторах в блокчейн-сети,  так и сформировать в лице ИПС агрегатора услуг указанных операторов.</w:t>
      </w:r>
    </w:p>
    <w:p w:rsidR="00935C72" w:rsidRDefault="00935C72" w:rsidP="001A0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5C72" w:rsidRPr="00935C72" w:rsidRDefault="00935C72" w:rsidP="001A0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47BF" w:rsidRPr="00935C72" w:rsidRDefault="003447BF" w:rsidP="001A0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01FCA" w:rsidRPr="00935C72" w:rsidRDefault="00865194" w:rsidP="001A0313">
      <w:pPr>
        <w:pStyle w:val="a8"/>
        <w:numPr>
          <w:ilvl w:val="0"/>
          <w:numId w:val="9"/>
        </w:numPr>
        <w:spacing w:after="0" w:line="240" w:lineRule="auto"/>
        <w:ind w:left="0"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lastRenderedPageBreak/>
        <w:t>План и этапность реализации проекта п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о внедрению финансового сервиса (</w:t>
      </w:r>
      <w:r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Pr="00935C72">
        <w:rPr>
          <w:rFonts w:ascii="Times New Roman" w:hAnsi="Times New Roman" w:cs="Times New Roman"/>
          <w:b/>
          <w:sz w:val="24"/>
          <w:szCs w:val="24"/>
        </w:rPr>
        <w:t>.</w:t>
      </w:r>
    </w:p>
    <w:p w:rsidR="00D92875" w:rsidRPr="00935C72" w:rsidRDefault="00D92875" w:rsidP="001A0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17D" w:rsidRPr="00935C72" w:rsidRDefault="001A0313" w:rsidP="001A0313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F0217D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:rsidR="00F0217D" w:rsidRPr="00935C72" w:rsidRDefault="00F0217D" w:rsidP="001A0313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Проект состоит из трех основных этапов:</w:t>
      </w:r>
    </w:p>
    <w:p w:rsidR="00005FC8" w:rsidRPr="00935C72" w:rsidRDefault="00F0217D" w:rsidP="001A0313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>1. Разработка программно-технического комплекса сервисов оператора инвестиционной платформы в рамках ИПС с использованием технологии распределенного реестра (РБД) согласно</w:t>
      </w:r>
      <w:r w:rsidR="00592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требований ФЗ-259.</w:t>
      </w:r>
      <w:r w:rsidR="005923B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В течение 2020 г. </w:t>
      </w:r>
    </w:p>
    <w:p w:rsidR="00005FC8" w:rsidRPr="00935C72" w:rsidRDefault="001A0313" w:rsidP="001A0313">
      <w:pPr>
        <w:shd w:val="clear" w:color="auto" w:fill="FFFFFF"/>
        <w:tabs>
          <w:tab w:val="left" w:pos="8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>2. Создания</w:t>
      </w:r>
      <w:r w:rsidR="00393D0B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ИПС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интерфейса личного кабинета владельца </w:t>
      </w:r>
      <w:r w:rsidR="00393D0B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регистрируемых операторами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ценнобумажных и цифровых активов,  связанного через API c информационными системами регистраторов и депозитариев/операторов  платформ, осуществляющих их учет. К 1 июля 2021 г. </w:t>
      </w:r>
    </w:p>
    <w:p w:rsidR="00D92875" w:rsidRPr="00935C72" w:rsidRDefault="001A0313" w:rsidP="001A0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005FC8" w:rsidRPr="00935C72">
        <w:rPr>
          <w:rFonts w:ascii="Times New Roman" w:eastAsia="Times New Roman" w:hAnsi="Times New Roman" w:cs="Times New Roman"/>
          <w:bCs/>
          <w:sz w:val="24"/>
          <w:szCs w:val="24"/>
        </w:rPr>
        <w:t>3. Обеспечение возможности для владельца единого личного кабинета совершения инвентарных операций с активами, состояние учета которых отражается в его личном кабинете на ИПС. К 1 июля 2022г.</w:t>
      </w:r>
    </w:p>
    <w:p w:rsidR="001A0313" w:rsidRPr="00935C72" w:rsidRDefault="001A0313" w:rsidP="001A0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проекта: Исследования и разработки</w:t>
      </w:r>
    </w:p>
    <w:p w:rsidR="00F0217D" w:rsidRPr="00935C72" w:rsidRDefault="00F0217D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В течение 2020 года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Разработка программно-технического комплекса оператора инвестиционной платформы в рамках ИПС с использованием технологии распределенного реестра, позволяющий унифицировать базовый функционал выполняющего его функции учетного института (регистратора/ депозитария) согласно требований ФЗ-259. Этап включает и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сследования и разработки по созданию ПТК, его пилотную  эксплуатацию и введение в промышленную эксплуатацию</w:t>
      </w:r>
    </w:p>
    <w:p w:rsidR="00F0217D" w:rsidRPr="00935C72" w:rsidRDefault="00F0217D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К 1 июля 2021 года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Реализация  принципа «одного окна» для доступа владельца ценнобумажных и цифровых активов к информации об их состоянии посредством создания интерфейса единого личного кабинета в ИПС логически связанного через </w:t>
      </w:r>
      <w:r w:rsidRPr="00935C72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информационными системами операторов инвестплатформ и регистраторов и депозитариев. Этап включает решение следующих задач: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идентификация владельцев ЛК; формирование распределенной базы данных; разработка программного интерфейса личного кабинета; разработка веб-приложения </w:t>
      </w:r>
      <w:r w:rsidR="001E26B9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Личный кабинет</w:t>
      </w:r>
      <w:r w:rsidR="001E26B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; проведение пилотной эксплуатации; введение в промышленную эксплуатацию</w:t>
      </w:r>
    </w:p>
    <w:p w:rsidR="00F0217D" w:rsidRPr="00935C72" w:rsidRDefault="00F0217D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1 июля 2022 года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Обеспечение возможности для владельца единого личного кабинета совершения инвентарных операций с активами, состояние учета которых отражается в его едином личном кабинете на ИПС. Этап включает: разработку п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рограммного интерфейса, веб-приложения; проведение пилотной эксплуатации;</w:t>
      </w:r>
      <w:r w:rsidR="002B14E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введение в промышленную эксплуатацию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F0217D"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2020 -</w:t>
      </w:r>
      <w:r w:rsidR="002A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F0217D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проекта: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005FC8"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05FC8"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Общее организационное развитие и план по найму</w:t>
      </w:r>
    </w:p>
    <w:p w:rsidR="00F0217D" w:rsidRPr="00935C72" w:rsidRDefault="00F0217D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Заявитель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обладает необходимым персоналам для организации запуска работ по проекту ИПС, имея в виду привлечение сторонних разработчиков для реализации большинства технологических решений, которые будут работать под контролем </w:t>
      </w:r>
      <w:r w:rsidR="001E26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З</w:t>
      </w:r>
      <w:r w:rsidR="001E26B9" w:rsidRPr="00935C72">
        <w:rPr>
          <w:rFonts w:ascii="Times New Roman" w:eastAsia="Times New Roman" w:hAnsi="Times New Roman" w:cs="Times New Roman"/>
          <w:bCs/>
          <w:sz w:val="24"/>
          <w:szCs w:val="24"/>
        </w:rPr>
        <w:t>аявителя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Развитие применения технологий РБД предлагается осуществлять собственными силами команды </w:t>
      </w:r>
      <w:r w:rsidR="006E46DB">
        <w:rPr>
          <w:rFonts w:ascii="Times New Roman" w:eastAsia="Times New Roman" w:hAnsi="Times New Roman" w:cs="Times New Roman"/>
          <w:bCs/>
          <w:sz w:val="24"/>
          <w:szCs w:val="24"/>
        </w:rPr>
        <w:t>ПАРТАД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E26B9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005FC8" w:rsidRPr="00935C72" w:rsidRDefault="00005FC8" w:rsidP="0084616C">
      <w:pPr>
        <w:shd w:val="clear" w:color="auto" w:fill="FFFFFF"/>
        <w:tabs>
          <w:tab w:val="left" w:pos="78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="002A38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2A38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21 гг.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По мере запуска проекта в эксплуатацию за счет </w:t>
      </w:r>
      <w:r w:rsidR="00EC358C">
        <w:rPr>
          <w:rFonts w:ascii="Times New Roman" w:eastAsia="Times New Roman" w:hAnsi="Times New Roman" w:cs="Times New Roman"/>
          <w:bCs/>
          <w:sz w:val="24"/>
          <w:szCs w:val="24"/>
        </w:rPr>
        <w:t>инвестиций в него/доходов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будет наниматься  необходимый технический персонал.</w:t>
      </w:r>
    </w:p>
    <w:p w:rsidR="002A380F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005FC8" w:rsidRPr="00935C72" w:rsidRDefault="00005FC8" w:rsidP="0084616C">
      <w:pPr>
        <w:shd w:val="clear" w:color="auto" w:fill="FFFFFF"/>
        <w:tabs>
          <w:tab w:val="left" w:pos="78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1784E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После выпуска </w:t>
      </w:r>
      <w:r w:rsidR="007C789D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7C789D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аявителем </w:t>
      </w:r>
      <w:r w:rsidR="00F0217D" w:rsidRPr="00935C72">
        <w:rPr>
          <w:rFonts w:ascii="Times New Roman" w:eastAsia="Times New Roman" w:hAnsi="Times New Roman" w:cs="Times New Roman"/>
          <w:bCs/>
          <w:sz w:val="24"/>
          <w:szCs w:val="24"/>
        </w:rPr>
        <w:t>инвестиционного финансового инструмента (возможно, в форме УЦП)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C789D" w:rsidRPr="00935C72">
        <w:rPr>
          <w:rFonts w:ascii="Times New Roman" w:eastAsia="Times New Roman" w:hAnsi="Times New Roman" w:cs="Times New Roman"/>
          <w:bCs/>
          <w:sz w:val="24"/>
          <w:szCs w:val="24"/>
        </w:rPr>
        <w:t>буд</w:t>
      </w:r>
      <w:r w:rsidR="007C789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7C789D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сформирован Совет владельцев УЦП, который будет наделен полномочиями по управлению ИПС в соответствии инвестиционным предложением</w:t>
      </w:r>
      <w:r w:rsidR="00F0217D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</w:t>
      </w:r>
      <w:r w:rsidR="002B14E2" w:rsidRPr="00935C72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="00F0217D" w:rsidRPr="00935C72">
        <w:rPr>
          <w:rFonts w:ascii="Times New Roman" w:eastAsia="Times New Roman" w:hAnsi="Times New Roman" w:cs="Times New Roman"/>
          <w:bCs/>
          <w:sz w:val="24"/>
          <w:szCs w:val="24"/>
        </w:rPr>
        <w:t>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предусмотренным ФЗ-259.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F0217D"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="002A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A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F0217D" w:rsidRPr="00935C72" w:rsidRDefault="00F0217D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проекта</w:t>
      </w:r>
      <w:r w:rsidR="00F0217D"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Защита интеллектуальной собственности и лицензирование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Право интеллектуальной собственности на программно-технические комплексы разработанные в результате выполнения всех этапов проекта и образующие технологическую основу ИПС будут зарегистрированы на имя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и/или на привлеченных им Инвесторов, пропорционально их финансовому вкладу в реализацию проекта. При необходимости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заявитель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выполнит требования ФЗ-259 для включения его в реестр операторов инвестиционных платформ.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7C789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="002A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- 22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проекта</w:t>
      </w:r>
      <w:r w:rsidR="00F0217D"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  <w:r w:rsidR="00F0217D"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Маркетинг, внедрение, продвижение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Рыночные сегменты потенциальных участников проекта ИПС включают в себя следующие категории институтов:</w:t>
      </w:r>
    </w:p>
    <w:p w:rsidR="00005FC8" w:rsidRPr="00935C72" w:rsidRDefault="00005FC8" w:rsidP="001A0313">
      <w:pPr>
        <w:tabs>
          <w:tab w:val="left" w:pos="567"/>
          <w:tab w:val="left" w:pos="44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- 26 специализированных депозитариев;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05FC8" w:rsidRPr="00935C72" w:rsidRDefault="00005FC8" w:rsidP="001A03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- 32 регистратора;</w:t>
      </w:r>
    </w:p>
    <w:p w:rsidR="00005FC8" w:rsidRPr="00935C72" w:rsidRDefault="00005FC8" w:rsidP="001A031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- 282 депозитария.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Все функции и этапы реализации проекта ИПС проходят публичное обсуждение и  согласование с профессиональным сообществом учетных институтов в лице профильных СРО.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Планы  по  продвижению сервисов ИПС по мере начала функционирования ее компонентов  включают:</w:t>
      </w:r>
    </w:p>
    <w:p w:rsidR="00005FC8" w:rsidRPr="00935C72" w:rsidRDefault="00005FC8" w:rsidP="001A031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Презентацию  ИПС на профессиональных конгрессах и конференциях (до 10 раз в год).</w:t>
      </w:r>
    </w:p>
    <w:p w:rsidR="00005FC8" w:rsidRPr="00935C72" w:rsidRDefault="00005FC8" w:rsidP="001A031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Получение рекомендательных писем от учетных институтов.</w:t>
      </w:r>
    </w:p>
    <w:p w:rsidR="00005FC8" w:rsidRPr="00935C72" w:rsidRDefault="00005FC8" w:rsidP="001A031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Выпуск пресс-релизов в специализированных СМИ.</w:t>
      </w:r>
    </w:p>
    <w:p w:rsidR="00005FC8" w:rsidRPr="00935C72" w:rsidRDefault="00005FC8" w:rsidP="001A031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Обучающие курсы в виде: очного обучения, вебинары, видео курсы.</w:t>
      </w:r>
    </w:p>
    <w:p w:rsidR="00005FC8" w:rsidRPr="00935C72" w:rsidRDefault="00005FC8" w:rsidP="001A0313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Продвижение сервисов ИПС через самих участниками финансового рынка.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Продвижение ИПС, как децентрализованной экосистемы оказания цифровых услуг для инвесторов/клиентов учетных институтов, способно значительно повысить востребованность сервисов учетной инфраструктуры.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  <w:r w:rsidR="007C789D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="002A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2A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Стадия проекта</w:t>
      </w:r>
      <w:r w:rsidR="00844355"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844355" w:rsidRPr="00935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935C7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Привлечение инвестиций и продажи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05FC8" w:rsidRPr="00935C72" w:rsidRDefault="00005FC8" w:rsidP="001A0313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Стоимость текущих затрат на организационно-техническую поддержку развития   ИПС для  ее участника составит не менее 200 тыс. руб. в год, в зависимости от количества нужных ему сервисов ИПС.  Планируется, что участниками  ИПС станут </w:t>
      </w:r>
      <w:proofErr w:type="gramStart"/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в  первые</w:t>
      </w:r>
      <w:proofErr w:type="gramEnd"/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2 года ее реализации все специализированные учетные институты (66 ед.). Таким образом, первоначальный  объем продаж  сервисов  ИПС (платформа как сервис) учетным институтам  принесет проекту не менее 13, 2 млн. руб. в год.</w:t>
      </w:r>
    </w:p>
    <w:p w:rsidR="00005FC8" w:rsidRPr="00935C72" w:rsidRDefault="00005FC8" w:rsidP="001A03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По мере подключения к ИПС остальных депозитариев  – не менее половины ныне существующих (160 ед.) в течение последующих 2-х лет, - ежегодные поступления  ИПС составят  не менее 45,2 млн. руб.</w:t>
      </w:r>
    </w:p>
    <w:p w:rsidR="00005FC8" w:rsidRPr="00935C72" w:rsidRDefault="00005FC8" w:rsidP="001A03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584C" w:rsidRPr="00935C72" w:rsidRDefault="00A36B8D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Требования законодательства РФ, которым не соответствует (может не соответствовать) деятельность по пре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доставлению финансового сервиса (</w:t>
      </w:r>
      <w:r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 (с указанием </w:t>
      </w:r>
      <w:r w:rsidR="00860295" w:rsidRPr="00935C72">
        <w:rPr>
          <w:rFonts w:ascii="Times New Roman" w:hAnsi="Times New Roman" w:cs="Times New Roman"/>
          <w:b/>
          <w:sz w:val="24"/>
          <w:szCs w:val="24"/>
        </w:rPr>
        <w:t xml:space="preserve">соответствующих положений 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нормативных (правовых) актов) </w:t>
      </w:r>
      <w:r w:rsidR="00860295" w:rsidRPr="00935C72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35C72">
        <w:rPr>
          <w:rFonts w:ascii="Times New Roman" w:hAnsi="Times New Roman" w:cs="Times New Roman"/>
          <w:b/>
          <w:sz w:val="24"/>
          <w:szCs w:val="24"/>
        </w:rPr>
        <w:t>при наличии.</w:t>
      </w:r>
    </w:p>
    <w:p w:rsidR="00844355" w:rsidRPr="00935C72" w:rsidRDefault="00844355" w:rsidP="00E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01E4" w:rsidRDefault="00844355" w:rsidP="00E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 </w:t>
      </w:r>
      <w:r w:rsidR="002B14E2" w:rsidRPr="00935C72">
        <w:rPr>
          <w:rFonts w:ascii="Times New Roman" w:hAnsi="Times New Roman" w:cs="Times New Roman"/>
          <w:sz w:val="24"/>
          <w:szCs w:val="24"/>
        </w:rPr>
        <w:t xml:space="preserve">  </w:t>
      </w:r>
      <w:r w:rsidRPr="00935C72">
        <w:rPr>
          <w:rFonts w:ascii="Times New Roman" w:hAnsi="Times New Roman" w:cs="Times New Roman"/>
          <w:sz w:val="24"/>
          <w:szCs w:val="24"/>
        </w:rPr>
        <w:t xml:space="preserve">Проект ИПС  </w:t>
      </w:r>
      <w:r w:rsidR="002B14E2" w:rsidRPr="00935C72">
        <w:rPr>
          <w:rFonts w:ascii="Times New Roman" w:hAnsi="Times New Roman" w:cs="Times New Roman"/>
          <w:sz w:val="24"/>
          <w:szCs w:val="24"/>
        </w:rPr>
        <w:t xml:space="preserve">отдельными аспектами своей реализации </w:t>
      </w:r>
      <w:r w:rsidRPr="00935C72">
        <w:rPr>
          <w:rFonts w:ascii="Times New Roman" w:hAnsi="Times New Roman" w:cs="Times New Roman"/>
          <w:sz w:val="24"/>
          <w:szCs w:val="24"/>
        </w:rPr>
        <w:t xml:space="preserve">может не вполне вписываться </w:t>
      </w:r>
      <w:r w:rsidR="002B14E2" w:rsidRPr="00935C72">
        <w:rPr>
          <w:rFonts w:ascii="Times New Roman" w:hAnsi="Times New Roman" w:cs="Times New Roman"/>
          <w:sz w:val="24"/>
          <w:szCs w:val="24"/>
        </w:rPr>
        <w:t>в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2B14E2" w:rsidRPr="00935C72">
        <w:rPr>
          <w:rFonts w:ascii="Times New Roman" w:hAnsi="Times New Roman" w:cs="Times New Roman"/>
          <w:sz w:val="24"/>
          <w:szCs w:val="24"/>
        </w:rPr>
        <w:t>вероятные</w:t>
      </w:r>
      <w:r w:rsidRPr="00935C72">
        <w:rPr>
          <w:rFonts w:ascii="Times New Roman" w:hAnsi="Times New Roman" w:cs="Times New Roman"/>
          <w:sz w:val="24"/>
          <w:szCs w:val="24"/>
        </w:rPr>
        <w:t xml:space="preserve"> трактовки норм</w:t>
      </w:r>
      <w:r w:rsidR="002B4E1D" w:rsidRPr="00935C72">
        <w:rPr>
          <w:rFonts w:ascii="Times New Roman" w:hAnsi="Times New Roman" w:cs="Times New Roman"/>
          <w:sz w:val="24"/>
          <w:szCs w:val="24"/>
        </w:rPr>
        <w:t xml:space="preserve"> как уже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принятого ФЗ-259</w:t>
      </w:r>
      <w:r w:rsidR="002B4E1D" w:rsidRPr="00935C72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 </w:t>
      </w:r>
      <w:r w:rsidR="002B14E2" w:rsidRPr="00935C72">
        <w:rPr>
          <w:rFonts w:ascii="Times New Roman" w:hAnsi="Times New Roman" w:cs="Times New Roman"/>
          <w:sz w:val="24"/>
          <w:szCs w:val="24"/>
        </w:rPr>
        <w:t xml:space="preserve">рассматриваемых в ГД РФ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2B14E2" w:rsidRPr="00935C72">
        <w:rPr>
          <w:rFonts w:ascii="Times New Roman" w:hAnsi="Times New Roman" w:cs="Times New Roman"/>
          <w:sz w:val="24"/>
          <w:szCs w:val="24"/>
        </w:rPr>
        <w:t>о</w:t>
      </w:r>
      <w:r w:rsidRPr="00935C72">
        <w:rPr>
          <w:rFonts w:ascii="Times New Roman" w:hAnsi="Times New Roman" w:cs="Times New Roman"/>
          <w:sz w:val="24"/>
          <w:szCs w:val="24"/>
        </w:rPr>
        <w:t>проектов о «Об электронных платформах»</w:t>
      </w:r>
      <w:r w:rsidR="002B14E2" w:rsidRPr="00935C72">
        <w:rPr>
          <w:rFonts w:ascii="Times New Roman" w:hAnsi="Times New Roman" w:cs="Times New Roman"/>
          <w:sz w:val="24"/>
          <w:szCs w:val="24"/>
        </w:rPr>
        <w:t xml:space="preserve"> и  «О цифровых финансовых активах»</w:t>
      </w:r>
      <w:r w:rsidR="009D64BB">
        <w:rPr>
          <w:rFonts w:ascii="Times New Roman" w:hAnsi="Times New Roman" w:cs="Times New Roman"/>
          <w:sz w:val="24"/>
          <w:szCs w:val="24"/>
        </w:rPr>
        <w:t>, в том числе с точки зрения особенностей применения технологий РБД в деятельности операторов инвестиционных платформ.</w:t>
      </w:r>
    </w:p>
    <w:p w:rsidR="00D92875" w:rsidRPr="00935C72" w:rsidRDefault="00CC01E4" w:rsidP="00E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Предлагается </w:t>
      </w:r>
      <w:r w:rsidR="004E6E66">
        <w:rPr>
          <w:rFonts w:ascii="Times New Roman" w:hAnsi="Times New Roman" w:cs="Times New Roman"/>
          <w:sz w:val="24"/>
          <w:szCs w:val="24"/>
        </w:rPr>
        <w:t xml:space="preserve">применить к проекту создания ИПС </w:t>
      </w:r>
      <w:r>
        <w:rPr>
          <w:rFonts w:ascii="Times New Roman" w:hAnsi="Times New Roman" w:cs="Times New Roman"/>
          <w:sz w:val="24"/>
          <w:szCs w:val="24"/>
        </w:rPr>
        <w:t xml:space="preserve"> механизм регулят</w:t>
      </w:r>
      <w:r w:rsidR="004E6E66">
        <w:rPr>
          <w:rFonts w:ascii="Times New Roman" w:hAnsi="Times New Roman" w:cs="Times New Roman"/>
          <w:sz w:val="24"/>
          <w:szCs w:val="24"/>
        </w:rPr>
        <w:t>ивной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E66">
        <w:rPr>
          <w:rFonts w:ascii="Times New Roman" w:hAnsi="Times New Roman" w:cs="Times New Roman"/>
          <w:sz w:val="24"/>
          <w:szCs w:val="24"/>
        </w:rPr>
        <w:t>в соответствии с  целями и задачи последнего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2875" w:rsidRPr="00935C72" w:rsidRDefault="00D92875" w:rsidP="00E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4AA3" w:rsidRPr="00935C72" w:rsidRDefault="00D914E6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План продвижения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 xml:space="preserve"> финансового сервиса (</w:t>
      </w:r>
      <w:r w:rsidRPr="00935C7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="0097150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 с указанием ключевых показателей эффективности.</w:t>
      </w:r>
    </w:p>
    <w:p w:rsidR="00D92875" w:rsidRPr="00935C72" w:rsidRDefault="00D92875" w:rsidP="00E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05FC8" w:rsidRPr="00935C72" w:rsidRDefault="00005FC8" w:rsidP="00326CD7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ИПС, администратором которой намерен стать </w:t>
      </w:r>
      <w:r w:rsidR="00326CD7" w:rsidRPr="00935C72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аявитель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, является многоцелевой технологической платформой, объединяющей учетные институты финансового рынка, в том числе в статусе операторов инвестиционных платформ, в интересах их клиентов. ИПС базируется на технологиях РБД/блокчейн и 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>Open API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 результатах реализации предыдущих проектов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заявителя</w:t>
      </w:r>
      <w:r w:rsidR="00326CD7" w:rsidRPr="00935C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05FC8" w:rsidRPr="00935C72" w:rsidRDefault="00005FC8" w:rsidP="00326CD7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Для реализации целей проекта необходимо в 2020 г.  организовать процесс финансирования ИПС, с использованием  возможностей созданной </w:t>
      </w:r>
      <w:r w:rsidR="004A7C8C" w:rsidRPr="00935C72">
        <w:rPr>
          <w:rFonts w:ascii="Times New Roman" w:eastAsia="Times New Roman" w:hAnsi="Times New Roman" w:cs="Times New Roman"/>
          <w:bCs/>
          <w:sz w:val="24"/>
          <w:szCs w:val="24"/>
        </w:rPr>
        <w:t>заявителем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распределенной сети P</w:t>
      </w:r>
      <w:r w:rsidRPr="00935C72">
        <w:rPr>
          <w:rFonts w:ascii="Times New Roman" w:eastAsia="Times New Roman" w:hAnsi="Times New Roman" w:cs="Times New Roman"/>
          <w:bCs/>
          <w:i/>
          <w:sz w:val="24"/>
          <w:szCs w:val="24"/>
        </w:rPr>
        <w:t>artadchain для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выпуска УЦП,  как инструмента инвестирования. Целевые участники сети ИПС – учетные институты финансового рынка России,</w:t>
      </w:r>
      <w:r w:rsidR="00935C72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регистраторы, депозитарии, специализированные депозитарии. </w:t>
      </w:r>
    </w:p>
    <w:p w:rsidR="00005FC8" w:rsidRPr="00935C72" w:rsidRDefault="00005FC8" w:rsidP="00326CD7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Внедрение и использование ИПС позволит добиться новых качественных изменений в инфраструктуре финансового рынка, а именно:</w:t>
      </w:r>
    </w:p>
    <w:p w:rsidR="00005FC8" w:rsidRPr="00935C72" w:rsidRDefault="00005FC8" w:rsidP="00326CD7">
      <w:pPr>
        <w:pStyle w:val="a8"/>
        <w:numPr>
          <w:ilvl w:val="3"/>
          <w:numId w:val="1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 повышение конкурентоспособности ее институтов по отношению к централизованным и банковским системам</w:t>
      </w:r>
    </w:p>
    <w:p w:rsidR="00005FC8" w:rsidRPr="00935C72" w:rsidRDefault="00005FC8" w:rsidP="00326CD7">
      <w:pPr>
        <w:pStyle w:val="a8"/>
        <w:numPr>
          <w:ilvl w:val="3"/>
          <w:numId w:val="1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Увеличит доступность услуг инфраструктуры и  во вновь создающемся цифровом ее сегменте  и в розничном сегменте рынка классических ценных бумаг.</w:t>
      </w:r>
    </w:p>
    <w:p w:rsidR="00005FC8" w:rsidRPr="00935C72" w:rsidRDefault="00005FC8" w:rsidP="00326CD7">
      <w:pPr>
        <w:pStyle w:val="a8"/>
        <w:numPr>
          <w:ilvl w:val="3"/>
          <w:numId w:val="1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Создаст  дополнительные </w:t>
      </w:r>
      <w:r w:rsidR="00326CD7" w:rsidRPr="00935C72">
        <w:rPr>
          <w:rFonts w:ascii="Times New Roman" w:hAnsi="Times New Roman" w:cs="Times New Roman"/>
          <w:color w:val="000000"/>
          <w:sz w:val="24"/>
          <w:szCs w:val="24"/>
        </w:rPr>
        <w:t>предпосылки для развития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децентрализованной торговли внебиржевыми финансовыми инструментами, с обеспечением регуляторного надзора.</w:t>
      </w:r>
    </w:p>
    <w:p w:rsidR="00005FC8" w:rsidRPr="00935C72" w:rsidRDefault="00005FC8" w:rsidP="00326CD7">
      <w:pPr>
        <w:pStyle w:val="a8"/>
        <w:numPr>
          <w:ilvl w:val="3"/>
          <w:numId w:val="1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>Сократит расходы на ведение бизнеса у учетных институтов.</w:t>
      </w:r>
    </w:p>
    <w:p w:rsidR="00005FC8" w:rsidRPr="00935C72" w:rsidRDefault="00005FC8" w:rsidP="00326CD7">
      <w:pPr>
        <w:pStyle w:val="a8"/>
        <w:numPr>
          <w:ilvl w:val="3"/>
          <w:numId w:val="1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Обеспечит бесперебойность ключевых сервисов инфраструктурных организаций (включая идентификацию клиентов и поддержание учета их </w:t>
      </w:r>
      <w:r w:rsidR="00326CD7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>прав собственности на финансовые инструменты).</w:t>
      </w:r>
    </w:p>
    <w:p w:rsidR="00D92875" w:rsidRPr="00935C72" w:rsidRDefault="00005FC8" w:rsidP="00326C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26CD7"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Обоснованность прогноза развития ИПС подтверждается тем, что она  основывается на предложения  экспертного сообщества  профильной СРО, включающего как топ-менеджеров крупных  инфраструктурных организаций, так и  экспертов в области финансовых технологий, разработчиков </w:t>
      </w:r>
      <w:r w:rsidRPr="00935C7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Fintech</w:t>
      </w:r>
      <w:r w:rsidRPr="00935C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35C72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RegTech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обеспечения, вендоров, которые исходят из имеющихся в настоящее время резальных потребностей рынка в определенном инструментарии и сервисах.</w:t>
      </w:r>
    </w:p>
    <w:p w:rsidR="00974747" w:rsidRPr="00935C72" w:rsidRDefault="00326CD7" w:rsidP="00974747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974747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Все функции и этапы реализации проекта ИПС проходят публичное обсуждение и  согласование с профессиональным сообществом учетных институтов в лице профильных СРО и их координирующего органа, что   будет способствовать его реализации.</w:t>
      </w:r>
    </w:p>
    <w:p w:rsidR="00C81D8E" w:rsidRPr="00935C72" w:rsidRDefault="00974747" w:rsidP="00C81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Продвижение ИПС, как децентр</w:t>
      </w:r>
      <w:r w:rsidR="00C81D8E" w:rsidRPr="00935C72">
        <w:rPr>
          <w:rFonts w:ascii="Times New Roman" w:eastAsia="Times New Roman" w:hAnsi="Times New Roman" w:cs="Times New Roman"/>
          <w:bCs/>
          <w:sz w:val="24"/>
          <w:szCs w:val="24"/>
        </w:rPr>
        <w:t>ализованной экосистемы оказания цифровых услуг для инвесторов/клиентов учетных институтов, способно  значительно повысить востребованность сервисов учетной инфраструктуры.</w:t>
      </w:r>
    </w:p>
    <w:p w:rsidR="00005FC8" w:rsidRPr="00935C72" w:rsidRDefault="00005FC8" w:rsidP="00974747">
      <w:pPr>
        <w:shd w:val="clear" w:color="auto" w:fill="FFFFFF"/>
        <w:tabs>
          <w:tab w:val="left" w:pos="782"/>
        </w:tabs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FC8" w:rsidRPr="0091784E" w:rsidRDefault="00005FC8" w:rsidP="00326CD7">
      <w:pPr>
        <w:shd w:val="clear" w:color="auto" w:fill="FFFFFF"/>
        <w:tabs>
          <w:tab w:val="left" w:pos="7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Pr="0091784E">
        <w:rPr>
          <w:rFonts w:ascii="Times New Roman" w:eastAsia="Times New Roman" w:hAnsi="Times New Roman" w:cs="Times New Roman"/>
          <w:bCs/>
          <w:sz w:val="24"/>
          <w:szCs w:val="24"/>
        </w:rPr>
        <w:t>Планы  по  продвижению сервисов ИПС по мере начала функционирования ее компонентов  включают:</w:t>
      </w:r>
    </w:p>
    <w:p w:rsidR="00005FC8" w:rsidRPr="0091784E" w:rsidRDefault="00005FC8" w:rsidP="00326CD7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4E">
        <w:rPr>
          <w:rFonts w:ascii="Times New Roman" w:hAnsi="Times New Roman" w:cs="Times New Roman"/>
          <w:color w:val="000000"/>
          <w:sz w:val="24"/>
          <w:szCs w:val="24"/>
        </w:rPr>
        <w:t>Презентацию  ИПС на профессиональных конгрессах и конференциях (до 10 раз в год).</w:t>
      </w:r>
    </w:p>
    <w:p w:rsidR="00005FC8" w:rsidRPr="0091784E" w:rsidRDefault="00005FC8" w:rsidP="00326CD7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4E">
        <w:rPr>
          <w:rFonts w:ascii="Times New Roman" w:hAnsi="Times New Roman" w:cs="Times New Roman"/>
          <w:color w:val="000000"/>
          <w:sz w:val="24"/>
          <w:szCs w:val="24"/>
        </w:rPr>
        <w:t>Получение рекомендательных писем от учетных институтов.</w:t>
      </w:r>
    </w:p>
    <w:p w:rsidR="00005FC8" w:rsidRPr="0091784E" w:rsidRDefault="00005FC8" w:rsidP="00326CD7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4E">
        <w:rPr>
          <w:rFonts w:ascii="Times New Roman" w:hAnsi="Times New Roman" w:cs="Times New Roman"/>
          <w:color w:val="000000"/>
          <w:sz w:val="24"/>
          <w:szCs w:val="24"/>
        </w:rPr>
        <w:t>Выпуск пресс-релизов в специализированных СМИ.</w:t>
      </w:r>
    </w:p>
    <w:p w:rsidR="00005FC8" w:rsidRPr="0091784E" w:rsidRDefault="00005FC8" w:rsidP="006850A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4E">
        <w:rPr>
          <w:rFonts w:ascii="Times New Roman" w:hAnsi="Times New Roman" w:cs="Times New Roman"/>
          <w:color w:val="000000"/>
          <w:sz w:val="24"/>
          <w:szCs w:val="24"/>
        </w:rPr>
        <w:t>Обучающие курсы в виде: очного обучения, вебинары, видео курсы.</w:t>
      </w:r>
    </w:p>
    <w:p w:rsidR="00005FC8" w:rsidRPr="0091784E" w:rsidRDefault="00005FC8" w:rsidP="006850A9">
      <w:pPr>
        <w:pStyle w:val="a8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4E">
        <w:rPr>
          <w:rFonts w:ascii="Times New Roman" w:hAnsi="Times New Roman" w:cs="Times New Roman"/>
          <w:color w:val="000000"/>
          <w:sz w:val="24"/>
          <w:szCs w:val="24"/>
        </w:rPr>
        <w:t xml:space="preserve">Продвижение сервисов ИПС </w:t>
      </w:r>
      <w:r w:rsidR="002B4E1D" w:rsidRPr="0091784E">
        <w:rPr>
          <w:rFonts w:ascii="Times New Roman" w:hAnsi="Times New Roman" w:cs="Times New Roman"/>
          <w:color w:val="000000"/>
          <w:sz w:val="24"/>
          <w:szCs w:val="24"/>
        </w:rPr>
        <w:t>участвующими в не</w:t>
      </w:r>
      <w:r w:rsidR="002E69A3" w:rsidRPr="0091784E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B4E1D" w:rsidRPr="0091784E">
        <w:rPr>
          <w:rFonts w:ascii="Times New Roman" w:hAnsi="Times New Roman" w:cs="Times New Roman"/>
          <w:color w:val="000000"/>
          <w:sz w:val="24"/>
          <w:szCs w:val="24"/>
        </w:rPr>
        <w:t xml:space="preserve"> учетными институтами</w:t>
      </w:r>
      <w:r w:rsidRPr="009178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0A9" w:rsidRPr="00935C72" w:rsidRDefault="002E69A3" w:rsidP="006850A9">
      <w:pPr>
        <w:shd w:val="clear" w:color="auto" w:fill="FFFFFF"/>
        <w:tabs>
          <w:tab w:val="left" w:pos="7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A3A7D">
        <w:rPr>
          <w:rFonts w:ascii="Times New Roman" w:eastAsia="Times New Roman" w:hAnsi="Times New Roman" w:cs="Times New Roman"/>
          <w:bCs/>
          <w:sz w:val="24"/>
          <w:szCs w:val="24"/>
        </w:rPr>
        <w:t>Ввиду того, что рыночные сегменты потенциальных участников проекта  ИПС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включают в себя </w:t>
      </w:r>
      <w:r w:rsidRPr="00935C72">
        <w:rPr>
          <w:rFonts w:ascii="Times New Roman" w:hAnsi="Times New Roman" w:cs="Times New Roman"/>
          <w:color w:val="000000"/>
          <w:sz w:val="24"/>
          <w:szCs w:val="24"/>
        </w:rPr>
        <w:t>26 специализированных депозитариев, 32 регистратора и  свыше 250 депозитариев-совместителей,  то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показателями эффективности  применения сервисов ИПС учетными институтами  предлагается рассматривать вовлеченность в ее работу не менее половины специализированных учетных институтов (29) в течение первого года ее функционирования, а следующем году,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>- всех остальных (58), с постепенным распространение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применения ее сервисов</w:t>
      </w:r>
      <w:proofErr w:type="gramEnd"/>
      <w:r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850A9" w:rsidRPr="00935C72">
        <w:rPr>
          <w:rFonts w:ascii="Times New Roman" w:eastAsia="Times New Roman" w:hAnsi="Times New Roman" w:cs="Times New Roman"/>
          <w:bCs/>
          <w:sz w:val="24"/>
          <w:szCs w:val="24"/>
        </w:rPr>
        <w:t>не менее чем на половину депозитариев-совместителей</w:t>
      </w:r>
      <w:r w:rsidR="00EB72EA" w:rsidRPr="00935C72">
        <w:rPr>
          <w:rFonts w:ascii="Times New Roman" w:eastAsia="Times New Roman" w:hAnsi="Times New Roman" w:cs="Times New Roman"/>
          <w:bCs/>
          <w:sz w:val="24"/>
          <w:szCs w:val="24"/>
        </w:rPr>
        <w:t xml:space="preserve"> (125)</w:t>
      </w:r>
      <w:r w:rsidR="006850A9" w:rsidRPr="00935C7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50A9" w:rsidRPr="00935C72" w:rsidRDefault="006850A9" w:rsidP="00326C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2875" w:rsidRPr="00935C72" w:rsidRDefault="00D92875" w:rsidP="00326C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65EBE" w:rsidRPr="00935C72" w:rsidRDefault="00A65EBE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Сценарий проведения пилотирования, перечень и роли должностных лиц (подразделений, организаций) – участников пилотирования.</w:t>
      </w:r>
    </w:p>
    <w:p w:rsidR="00EB72EA" w:rsidRPr="00935C72" w:rsidRDefault="00EB72EA" w:rsidP="00EB72E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A4F" w:rsidRPr="00935C72" w:rsidRDefault="002E69A3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Предлагается осуществить пилотное применение прототипов технологической платформы ИПС, 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>предусматривающий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отработку модели взаимодействия в участников учетной системы  финансового рынка при размещении </w:t>
      </w:r>
      <w:r w:rsidR="002205B9">
        <w:rPr>
          <w:rFonts w:ascii="Times New Roman" w:hAnsi="Times New Roman" w:cs="Times New Roman"/>
          <w:sz w:val="24"/>
          <w:szCs w:val="24"/>
        </w:rPr>
        <w:t>УЦП (</w:t>
      </w:r>
      <w:r w:rsidRPr="00935C72">
        <w:rPr>
          <w:rFonts w:ascii="Times New Roman" w:hAnsi="Times New Roman" w:cs="Times New Roman"/>
          <w:sz w:val="24"/>
          <w:szCs w:val="24"/>
        </w:rPr>
        <w:t>токенов</w:t>
      </w:r>
      <w:r w:rsidR="002205B9">
        <w:rPr>
          <w:rFonts w:ascii="Times New Roman" w:hAnsi="Times New Roman" w:cs="Times New Roman"/>
          <w:sz w:val="24"/>
          <w:szCs w:val="24"/>
        </w:rPr>
        <w:t>)</w:t>
      </w:r>
      <w:r w:rsidRPr="00935C72">
        <w:rPr>
          <w:rFonts w:ascii="Times New Roman" w:hAnsi="Times New Roman" w:cs="Times New Roman"/>
          <w:sz w:val="24"/>
          <w:szCs w:val="24"/>
        </w:rPr>
        <w:t xml:space="preserve"> Лица привлекающего инвестиции  (на примере токенов Заявителя).</w:t>
      </w:r>
    </w:p>
    <w:p w:rsidR="00A65A4F" w:rsidRPr="00935C72" w:rsidRDefault="00A65A4F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Пилотный проект предполагает следующий сценарий взаимодействия его участников, схематически </w:t>
      </w:r>
      <w:r w:rsidR="00E235D1" w:rsidRPr="00935C72">
        <w:rPr>
          <w:rFonts w:ascii="Times New Roman" w:hAnsi="Times New Roman" w:cs="Times New Roman"/>
          <w:sz w:val="24"/>
          <w:szCs w:val="24"/>
        </w:rPr>
        <w:t>представленный на рис.1</w:t>
      </w:r>
      <w:r w:rsidRPr="00935C72">
        <w:rPr>
          <w:rFonts w:ascii="Times New Roman" w:hAnsi="Times New Roman" w:cs="Times New Roman"/>
          <w:sz w:val="24"/>
          <w:szCs w:val="24"/>
        </w:rPr>
        <w:t>:</w:t>
      </w:r>
    </w:p>
    <w:p w:rsidR="00E235D1" w:rsidRPr="00935C72" w:rsidRDefault="002E69A3" w:rsidP="00935C72">
      <w:pPr>
        <w:pStyle w:val="a8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привлекающее инвестиции посредством выпуска токенов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размещает Закрытое инвестиционное предложение в информационной системе регистратора Д (выполняющего функцию будущего Оператора инвестиционной платформы), которое адресовано двум потенциальным инвесторам – регистратору 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и депозитарию ГТ.</w:t>
      </w:r>
    </w:p>
    <w:p w:rsidR="0058734D" w:rsidRPr="00935C72" w:rsidRDefault="002E69A3" w:rsidP="00935C72">
      <w:pPr>
        <w:pStyle w:val="a8"/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Регистратор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(по данным предоставленным Лицом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привлекающим инвестиции) информирует потенциальных инвесторов о размещении инвестиционного предложения</w:t>
      </w:r>
      <w:r w:rsidR="002205B9">
        <w:rPr>
          <w:rFonts w:ascii="Times New Roman" w:hAnsi="Times New Roman" w:cs="Times New Roman"/>
          <w:sz w:val="24"/>
          <w:szCs w:val="24"/>
        </w:rPr>
        <w:t xml:space="preserve"> на его инвестиционной платформе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 о способе доступа к нему и к </w:t>
      </w:r>
      <w:r w:rsidRPr="00935C72">
        <w:rPr>
          <w:rFonts w:ascii="Times New Roman" w:hAnsi="Times New Roman" w:cs="Times New Roman"/>
          <w:sz w:val="24"/>
          <w:szCs w:val="24"/>
        </w:rPr>
        <w:lastRenderedPageBreak/>
        <w:t>информации о Лице привлекающем инвестиции, а также к правилам работы Оператора инвестиционной платформы, соответствующие требованиям законодательства.</w:t>
      </w:r>
    </w:p>
    <w:p w:rsidR="003B27B3" w:rsidRPr="00935C72" w:rsidRDefault="00FD3E3A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С)</w:t>
      </w:r>
      <w:r w:rsidRPr="00935C72">
        <w:rPr>
          <w:rFonts w:ascii="Times New Roman" w:hAnsi="Times New Roman" w:cs="Times New Roman"/>
          <w:sz w:val="24"/>
          <w:szCs w:val="24"/>
        </w:rPr>
        <w:t xml:space="preserve"> В соответствии с известными им правилами Регистратора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(Оператора инвестиционной платформы) Инвесторы обращаются к нему по электронным каналам связи системы электронного документооборота, участниками которой являются все участники размещения, с заявлением, подписанным усиленной электронной подписью (сертификат открытого ключа которой выдан Удостоверяющим центром П), о создании их электронного профиля  в РБД ИПС (нодой блокчейн-сети которой является регистратор Д), имея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 xml:space="preserve">виду как </w:t>
      </w:r>
      <w:r w:rsidR="003B27B3" w:rsidRPr="00935C72">
        <w:rPr>
          <w:rFonts w:ascii="Times New Roman" w:hAnsi="Times New Roman" w:cs="Times New Roman"/>
          <w:sz w:val="24"/>
          <w:szCs w:val="24"/>
        </w:rPr>
        <w:t xml:space="preserve">перспективу </w:t>
      </w:r>
      <w:r w:rsidR="00636CA8" w:rsidRPr="00935C72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3B27B3" w:rsidRPr="00935C7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этом и </w:t>
      </w:r>
      <w:r w:rsidR="003B27B3" w:rsidRPr="00935C72">
        <w:rPr>
          <w:rFonts w:ascii="Times New Roman" w:hAnsi="Times New Roman" w:cs="Times New Roman"/>
          <w:sz w:val="24"/>
          <w:szCs w:val="24"/>
        </w:rPr>
        <w:t xml:space="preserve">других размещениях 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осуществляемых посредством </w:t>
      </w:r>
      <w:r w:rsidR="00935C72" w:rsidRPr="00935C72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442B0E" w:rsidRPr="00935C72">
        <w:rPr>
          <w:rFonts w:ascii="Times New Roman" w:hAnsi="Times New Roman" w:cs="Times New Roman"/>
          <w:sz w:val="24"/>
          <w:szCs w:val="24"/>
        </w:rPr>
        <w:t>данного Оператора</w:t>
      </w:r>
      <w:r w:rsidR="002205B9">
        <w:rPr>
          <w:rFonts w:ascii="Times New Roman" w:hAnsi="Times New Roman" w:cs="Times New Roman"/>
          <w:sz w:val="24"/>
          <w:szCs w:val="24"/>
        </w:rPr>
        <w:t xml:space="preserve"> (и других операторов – участников ИПС)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3B27B3" w:rsidRPr="00935C72">
        <w:rPr>
          <w:rFonts w:ascii="Times New Roman" w:hAnsi="Times New Roman" w:cs="Times New Roman"/>
          <w:sz w:val="24"/>
          <w:szCs w:val="24"/>
        </w:rPr>
        <w:t>с использованием идентифи</w:t>
      </w:r>
      <w:r w:rsidR="00636CA8" w:rsidRPr="00935C72">
        <w:rPr>
          <w:rFonts w:ascii="Times New Roman" w:hAnsi="Times New Roman" w:cs="Times New Roman"/>
          <w:sz w:val="24"/>
          <w:szCs w:val="24"/>
        </w:rPr>
        <w:t xml:space="preserve">кационных </w:t>
      </w:r>
      <w:r w:rsidR="002E69A3" w:rsidRPr="00935C72">
        <w:rPr>
          <w:rFonts w:ascii="Times New Roman" w:hAnsi="Times New Roman" w:cs="Times New Roman"/>
          <w:sz w:val="24"/>
          <w:szCs w:val="24"/>
        </w:rPr>
        <w:t>данных,</w:t>
      </w:r>
      <w:r w:rsidR="00636CA8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3B27B3" w:rsidRPr="00935C72">
        <w:rPr>
          <w:rFonts w:ascii="Times New Roman" w:hAnsi="Times New Roman" w:cs="Times New Roman"/>
          <w:sz w:val="24"/>
          <w:szCs w:val="24"/>
        </w:rPr>
        <w:t>сохраненных в их электронн</w:t>
      </w:r>
      <w:r w:rsidR="00636CA8" w:rsidRPr="00935C72">
        <w:rPr>
          <w:rFonts w:ascii="Times New Roman" w:hAnsi="Times New Roman" w:cs="Times New Roman"/>
          <w:sz w:val="24"/>
          <w:szCs w:val="24"/>
        </w:rPr>
        <w:t>ых</w:t>
      </w:r>
      <w:r w:rsidR="003B27B3" w:rsidRPr="00935C72">
        <w:rPr>
          <w:rFonts w:ascii="Times New Roman" w:hAnsi="Times New Roman" w:cs="Times New Roman"/>
          <w:sz w:val="24"/>
          <w:szCs w:val="24"/>
        </w:rPr>
        <w:t xml:space="preserve"> профил</w:t>
      </w:r>
      <w:r w:rsidR="00636CA8" w:rsidRPr="00935C72">
        <w:rPr>
          <w:rFonts w:ascii="Times New Roman" w:hAnsi="Times New Roman" w:cs="Times New Roman"/>
          <w:sz w:val="24"/>
          <w:szCs w:val="24"/>
        </w:rPr>
        <w:t xml:space="preserve">ях, так </w:t>
      </w:r>
      <w:r w:rsidR="003B27B3" w:rsidRPr="00935C72">
        <w:rPr>
          <w:rFonts w:ascii="Times New Roman" w:hAnsi="Times New Roman" w:cs="Times New Roman"/>
          <w:sz w:val="24"/>
          <w:szCs w:val="24"/>
        </w:rPr>
        <w:t>и формирования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 в перспективе на основе данных электронных профилей </w:t>
      </w:r>
      <w:r w:rsidR="003B27B3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935C72" w:rsidRPr="00935C72">
        <w:rPr>
          <w:rFonts w:ascii="Times New Roman" w:hAnsi="Times New Roman" w:cs="Times New Roman"/>
          <w:sz w:val="24"/>
          <w:szCs w:val="24"/>
        </w:rPr>
        <w:t>сервиса Л</w:t>
      </w:r>
      <w:r w:rsidR="003B27B3" w:rsidRPr="00935C72">
        <w:rPr>
          <w:rFonts w:ascii="Times New Roman" w:hAnsi="Times New Roman" w:cs="Times New Roman"/>
          <w:sz w:val="24"/>
          <w:szCs w:val="24"/>
        </w:rPr>
        <w:t>ичного кабинета в</w:t>
      </w:r>
      <w:r w:rsidR="00636CA8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3B27B3" w:rsidRPr="00935C72">
        <w:rPr>
          <w:rFonts w:ascii="Times New Roman" w:hAnsi="Times New Roman" w:cs="Times New Roman"/>
          <w:sz w:val="24"/>
          <w:szCs w:val="24"/>
        </w:rPr>
        <w:t xml:space="preserve">ИПС </w:t>
      </w:r>
      <w:r w:rsidR="00556CE2" w:rsidRPr="00935C72">
        <w:rPr>
          <w:rFonts w:ascii="Times New Roman" w:hAnsi="Times New Roman" w:cs="Times New Roman"/>
          <w:sz w:val="24"/>
          <w:szCs w:val="24"/>
        </w:rPr>
        <w:t>(</w:t>
      </w:r>
      <w:r w:rsidR="003B27B3" w:rsidRPr="00935C72">
        <w:rPr>
          <w:rFonts w:ascii="Times New Roman" w:hAnsi="Times New Roman" w:cs="Times New Roman"/>
          <w:sz w:val="24"/>
          <w:szCs w:val="24"/>
        </w:rPr>
        <w:t>по мере разработки его интерфейса</w:t>
      </w:r>
      <w:r w:rsidR="00556CE2" w:rsidRPr="00935C72">
        <w:rPr>
          <w:rFonts w:ascii="Times New Roman" w:hAnsi="Times New Roman" w:cs="Times New Roman"/>
          <w:sz w:val="24"/>
          <w:szCs w:val="24"/>
        </w:rPr>
        <w:t>)</w:t>
      </w:r>
      <w:r w:rsidR="003B27B3" w:rsidRPr="00935C72">
        <w:rPr>
          <w:rFonts w:ascii="Times New Roman" w:hAnsi="Times New Roman" w:cs="Times New Roman"/>
          <w:sz w:val="24"/>
          <w:szCs w:val="24"/>
        </w:rPr>
        <w:t>.</w:t>
      </w:r>
    </w:p>
    <w:p w:rsidR="00442B0E" w:rsidRPr="00935C72" w:rsidRDefault="009550BC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На основе идентификационных данных каждого Инвестора  и выданного Удостоверяющим центром П  сертификата открытого ключа ЭП, регистратором Д формируется </w:t>
      </w:r>
      <w:r w:rsidR="00442B0E" w:rsidRPr="00935C7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="00442B0E" w:rsidRPr="00935C72">
        <w:rPr>
          <w:rFonts w:ascii="Times New Roman" w:hAnsi="Times New Roman" w:cs="Times New Roman"/>
          <w:sz w:val="24"/>
          <w:szCs w:val="24"/>
        </w:rPr>
        <w:t>-файл с его данными, который подписывается закрытым ключом ЭП Инвестора;</w:t>
      </w:r>
    </w:p>
    <w:p w:rsidR="00442B0E" w:rsidRPr="00935C72" w:rsidRDefault="00442B0E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935C72">
        <w:rPr>
          <w:rFonts w:ascii="Times New Roman" w:hAnsi="Times New Roman" w:cs="Times New Roman"/>
          <w:sz w:val="24"/>
          <w:szCs w:val="24"/>
        </w:rPr>
        <w:t xml:space="preserve">)  </w:t>
      </w:r>
      <w:r w:rsidRPr="00935C7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935C72">
        <w:rPr>
          <w:rFonts w:ascii="Times New Roman" w:hAnsi="Times New Roman" w:cs="Times New Roman"/>
          <w:sz w:val="24"/>
          <w:szCs w:val="24"/>
        </w:rPr>
        <w:t xml:space="preserve">-файл с данными </w:t>
      </w:r>
      <w:r w:rsidR="00556CE2" w:rsidRPr="00935C72">
        <w:rPr>
          <w:rFonts w:ascii="Times New Roman" w:hAnsi="Times New Roman" w:cs="Times New Roman"/>
          <w:sz w:val="24"/>
          <w:szCs w:val="24"/>
        </w:rPr>
        <w:t>Инвестора</w:t>
      </w:r>
      <w:r w:rsidRPr="00935C72">
        <w:rPr>
          <w:rFonts w:ascii="Times New Roman" w:hAnsi="Times New Roman" w:cs="Times New Roman"/>
          <w:sz w:val="24"/>
          <w:szCs w:val="24"/>
        </w:rPr>
        <w:t>, подписанный закрытым ключом его ЭП, экспортируется Регистратором Д посредством интерфейса умного контракта «Электронный профиль участника РБД</w:t>
      </w:r>
      <w:r w:rsidR="0015384C" w:rsidRPr="00935C72">
        <w:rPr>
          <w:rFonts w:ascii="Times New Roman" w:hAnsi="Times New Roman" w:cs="Times New Roman"/>
          <w:sz w:val="24"/>
          <w:szCs w:val="24"/>
        </w:rPr>
        <w:t xml:space="preserve"> ИПС</w:t>
      </w:r>
      <w:r w:rsidRPr="00935C72">
        <w:rPr>
          <w:rFonts w:ascii="Times New Roman" w:hAnsi="Times New Roman" w:cs="Times New Roman"/>
          <w:sz w:val="24"/>
          <w:szCs w:val="24"/>
        </w:rPr>
        <w:t>» в распределенное файловое хранилище РБД  с использованием технологии блокчейн;</w:t>
      </w:r>
    </w:p>
    <w:p w:rsidR="003B27B3" w:rsidRPr="00935C72" w:rsidRDefault="0015384C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E235D1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3B27B3" w:rsidRPr="00935C72">
        <w:rPr>
          <w:rFonts w:ascii="Times New Roman" w:hAnsi="Times New Roman" w:cs="Times New Roman"/>
          <w:sz w:val="24"/>
          <w:szCs w:val="24"/>
        </w:rPr>
        <w:t>С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 помощью технических средств Регистратора Д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, </w:t>
      </w:r>
      <w:r w:rsidR="00556CE2" w:rsidRPr="00935C72">
        <w:rPr>
          <w:rFonts w:ascii="Times New Roman" w:hAnsi="Times New Roman" w:cs="Times New Roman"/>
          <w:sz w:val="24"/>
          <w:szCs w:val="24"/>
        </w:rPr>
        <w:t>И</w:t>
      </w:r>
      <w:r w:rsidR="00E235D1" w:rsidRPr="00935C72">
        <w:rPr>
          <w:rFonts w:ascii="Times New Roman" w:hAnsi="Times New Roman" w:cs="Times New Roman"/>
          <w:sz w:val="24"/>
          <w:szCs w:val="24"/>
        </w:rPr>
        <w:t>нвесторы (регистратор П</w:t>
      </w:r>
      <w:r w:rsidR="000F7C23">
        <w:rPr>
          <w:rFonts w:ascii="Times New Roman" w:hAnsi="Times New Roman" w:cs="Times New Roman"/>
          <w:sz w:val="24"/>
          <w:szCs w:val="24"/>
        </w:rPr>
        <w:t>Р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 и депозитарий Г</w:t>
      </w:r>
      <w:r w:rsidR="000F7C23">
        <w:rPr>
          <w:rFonts w:ascii="Times New Roman" w:hAnsi="Times New Roman" w:cs="Times New Roman"/>
          <w:sz w:val="24"/>
          <w:szCs w:val="24"/>
        </w:rPr>
        <w:t>Т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) сообщают ему </w:t>
      </w:r>
      <w:r w:rsidR="00E674B7" w:rsidRPr="00935C72">
        <w:rPr>
          <w:rFonts w:ascii="Times New Roman" w:hAnsi="Times New Roman" w:cs="Times New Roman"/>
          <w:sz w:val="24"/>
          <w:szCs w:val="24"/>
        </w:rPr>
        <w:t xml:space="preserve">в установленной им форме 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инвестиционного предложения </w:t>
      </w:r>
      <w:r w:rsidR="009550BC" w:rsidRPr="00935C72">
        <w:rPr>
          <w:rFonts w:ascii="Times New Roman" w:hAnsi="Times New Roman" w:cs="Times New Roman"/>
          <w:sz w:val="24"/>
          <w:szCs w:val="24"/>
        </w:rPr>
        <w:t>Лица привлекающего инвестиции</w:t>
      </w:r>
      <w:r w:rsidR="00E235D1" w:rsidRPr="00935C72">
        <w:rPr>
          <w:rFonts w:ascii="Times New Roman" w:hAnsi="Times New Roman" w:cs="Times New Roman"/>
          <w:sz w:val="24"/>
          <w:szCs w:val="24"/>
        </w:rPr>
        <w:t>. Предполагается</w:t>
      </w:r>
      <w:r w:rsidR="009550BC" w:rsidRPr="00935C72">
        <w:rPr>
          <w:rFonts w:ascii="Times New Roman" w:hAnsi="Times New Roman" w:cs="Times New Roman"/>
          <w:sz w:val="24"/>
          <w:szCs w:val="24"/>
        </w:rPr>
        <w:t>,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 что 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Инвесторы 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предварительно  разместили </w:t>
      </w:r>
      <w:r w:rsidR="009550BC" w:rsidRPr="00935C72">
        <w:rPr>
          <w:rFonts w:ascii="Times New Roman" w:hAnsi="Times New Roman" w:cs="Times New Roman"/>
          <w:sz w:val="24"/>
          <w:szCs w:val="24"/>
        </w:rPr>
        <w:t>денежные средства,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 соответствующие масштабу </w:t>
      </w:r>
      <w:r w:rsidR="00442B0E" w:rsidRPr="00935C72">
        <w:rPr>
          <w:rFonts w:ascii="Times New Roman" w:hAnsi="Times New Roman" w:cs="Times New Roman"/>
          <w:sz w:val="24"/>
          <w:szCs w:val="24"/>
        </w:rPr>
        <w:t xml:space="preserve">закрытого </w:t>
      </w:r>
      <w:r w:rsidR="00E235D1" w:rsidRPr="00935C72">
        <w:rPr>
          <w:rFonts w:ascii="Times New Roman" w:hAnsi="Times New Roman" w:cs="Times New Roman"/>
          <w:sz w:val="24"/>
          <w:szCs w:val="24"/>
        </w:rPr>
        <w:t>инвестиционного предложения</w:t>
      </w:r>
      <w:r w:rsidR="009550BC" w:rsidRPr="00935C72">
        <w:rPr>
          <w:rFonts w:ascii="Times New Roman" w:hAnsi="Times New Roman" w:cs="Times New Roman"/>
          <w:sz w:val="24"/>
          <w:szCs w:val="24"/>
        </w:rPr>
        <w:t xml:space="preserve">, </w:t>
      </w:r>
      <w:r w:rsidR="00E235D1" w:rsidRPr="00935C72">
        <w:rPr>
          <w:rFonts w:ascii="Times New Roman" w:hAnsi="Times New Roman" w:cs="Times New Roman"/>
          <w:sz w:val="24"/>
          <w:szCs w:val="24"/>
        </w:rPr>
        <w:t xml:space="preserve"> на номинальном счете </w:t>
      </w:r>
      <w:r w:rsidR="003B27B3" w:rsidRPr="00935C72">
        <w:rPr>
          <w:rFonts w:ascii="Times New Roman" w:hAnsi="Times New Roman" w:cs="Times New Roman"/>
          <w:sz w:val="24"/>
          <w:szCs w:val="24"/>
        </w:rPr>
        <w:t>регистратора Д в банке ГБ</w:t>
      </w:r>
      <w:r w:rsidR="009550BC" w:rsidRPr="00935C72">
        <w:rPr>
          <w:rFonts w:ascii="Times New Roman" w:hAnsi="Times New Roman" w:cs="Times New Roman"/>
          <w:sz w:val="24"/>
          <w:szCs w:val="24"/>
        </w:rPr>
        <w:t xml:space="preserve"> в соответствии с правилами Оператора инвестиционной платформы.</w:t>
      </w:r>
    </w:p>
    <w:p w:rsidR="00E674B7" w:rsidRPr="00935C72" w:rsidRDefault="0015384C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E674B7" w:rsidRPr="00935C72">
        <w:rPr>
          <w:rFonts w:ascii="Times New Roman" w:hAnsi="Times New Roman" w:cs="Times New Roman"/>
          <w:sz w:val="24"/>
          <w:szCs w:val="24"/>
        </w:rPr>
        <w:t>) Ре</w:t>
      </w:r>
      <w:r w:rsidR="00A65A4F" w:rsidRPr="00935C72">
        <w:rPr>
          <w:rFonts w:ascii="Times New Roman" w:hAnsi="Times New Roman" w:cs="Times New Roman"/>
          <w:sz w:val="24"/>
          <w:szCs w:val="24"/>
        </w:rPr>
        <w:t>гистратор</w:t>
      </w:r>
      <w:r w:rsidR="00E674B7" w:rsidRPr="00935C72">
        <w:rPr>
          <w:rFonts w:ascii="Times New Roman" w:hAnsi="Times New Roman" w:cs="Times New Roman"/>
          <w:sz w:val="24"/>
          <w:szCs w:val="24"/>
        </w:rPr>
        <w:t xml:space="preserve"> Д</w:t>
      </w:r>
      <w:r w:rsidR="00A65A4F" w:rsidRPr="00935C72">
        <w:rPr>
          <w:rFonts w:ascii="Times New Roman" w:hAnsi="Times New Roman" w:cs="Times New Roman"/>
          <w:sz w:val="24"/>
          <w:szCs w:val="24"/>
        </w:rPr>
        <w:t xml:space="preserve"> идентифицирует </w:t>
      </w:r>
      <w:r w:rsidR="00E674B7" w:rsidRPr="00935C72">
        <w:rPr>
          <w:rFonts w:ascii="Times New Roman" w:hAnsi="Times New Roman" w:cs="Times New Roman"/>
          <w:sz w:val="24"/>
          <w:szCs w:val="24"/>
        </w:rPr>
        <w:t>каждого Инвестора на основе использования им  усиленной электронной подписи, сертификат открытого ключа которого выдан удостоверяющим центром П и данных их электронных профилей в РБД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ИПС</w:t>
      </w:r>
      <w:r w:rsidR="00E674B7" w:rsidRPr="00935C72">
        <w:rPr>
          <w:rFonts w:ascii="Times New Roman" w:hAnsi="Times New Roman" w:cs="Times New Roman"/>
          <w:sz w:val="24"/>
          <w:szCs w:val="24"/>
        </w:rPr>
        <w:t>.</w:t>
      </w:r>
    </w:p>
    <w:p w:rsidR="00E755D2" w:rsidRPr="00935C72" w:rsidRDefault="00A65A4F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15384C" w:rsidRPr="00935C72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15384C" w:rsidRPr="00935C7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Регистратор Д формирует и ведет в своей информационной системе </w:t>
      </w:r>
      <w:r w:rsidR="00556CE2" w:rsidRPr="00935C72">
        <w:rPr>
          <w:rFonts w:ascii="Times New Roman" w:hAnsi="Times New Roman" w:cs="Times New Roman"/>
          <w:sz w:val="24"/>
          <w:szCs w:val="24"/>
        </w:rPr>
        <w:t>Р</w:t>
      </w:r>
      <w:r w:rsidR="00E755D2" w:rsidRPr="00935C72">
        <w:rPr>
          <w:rFonts w:ascii="Times New Roman" w:hAnsi="Times New Roman" w:cs="Times New Roman"/>
          <w:sz w:val="24"/>
          <w:szCs w:val="24"/>
        </w:rPr>
        <w:t>еестр договоров</w:t>
      </w:r>
      <w:r w:rsidR="00556CE2" w:rsidRPr="00935C72">
        <w:rPr>
          <w:rFonts w:ascii="Times New Roman" w:hAnsi="Times New Roman" w:cs="Times New Roman"/>
          <w:sz w:val="24"/>
          <w:szCs w:val="24"/>
        </w:rPr>
        <w:t xml:space="preserve"> об инвестировании,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 заключенных с Лицом привлекающим инвестиции, согласно его закрытому инвестиционному предложению.</w:t>
      </w:r>
    </w:p>
    <w:p w:rsidR="00E674B7" w:rsidRPr="00935C72" w:rsidRDefault="00E755D2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5C72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E674B7" w:rsidRPr="00935C72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ФЗ-259 срока для отказа от принятия инвестиционного предложения, регистратор Д направляет каждому </w:t>
      </w:r>
      <w:r w:rsidR="00556CE2" w:rsidRPr="00935C72">
        <w:rPr>
          <w:rFonts w:ascii="Times New Roman" w:hAnsi="Times New Roman" w:cs="Times New Roman"/>
          <w:sz w:val="24"/>
          <w:szCs w:val="24"/>
        </w:rPr>
        <w:t>И</w:t>
      </w:r>
      <w:r w:rsidR="00E674B7" w:rsidRPr="00935C72">
        <w:rPr>
          <w:rFonts w:ascii="Times New Roman" w:hAnsi="Times New Roman" w:cs="Times New Roman"/>
          <w:sz w:val="24"/>
          <w:szCs w:val="24"/>
        </w:rPr>
        <w:t xml:space="preserve">нвестору </w:t>
      </w:r>
      <w:r w:rsidR="0015384C" w:rsidRPr="00935C72">
        <w:rPr>
          <w:rFonts w:ascii="Times New Roman" w:hAnsi="Times New Roman" w:cs="Times New Roman"/>
          <w:sz w:val="24"/>
          <w:szCs w:val="24"/>
        </w:rPr>
        <w:t>В</w:t>
      </w:r>
      <w:r w:rsidR="00E674B7" w:rsidRPr="00935C72">
        <w:rPr>
          <w:rFonts w:ascii="Times New Roman" w:hAnsi="Times New Roman" w:cs="Times New Roman"/>
          <w:sz w:val="24"/>
          <w:szCs w:val="24"/>
        </w:rPr>
        <w:t>ыписку из ведущего</w:t>
      </w:r>
      <w:r w:rsidR="0015384C" w:rsidRPr="00935C72">
        <w:rPr>
          <w:rFonts w:ascii="Times New Roman" w:hAnsi="Times New Roman" w:cs="Times New Roman"/>
          <w:sz w:val="24"/>
          <w:szCs w:val="24"/>
        </w:rPr>
        <w:t>с</w:t>
      </w:r>
      <w:r w:rsidR="00E674B7" w:rsidRPr="00935C72">
        <w:rPr>
          <w:rFonts w:ascii="Times New Roman" w:hAnsi="Times New Roman" w:cs="Times New Roman"/>
          <w:sz w:val="24"/>
          <w:szCs w:val="24"/>
        </w:rPr>
        <w:t xml:space="preserve">я им </w:t>
      </w:r>
      <w:r w:rsidR="00556CE2" w:rsidRPr="00935C72">
        <w:rPr>
          <w:rFonts w:ascii="Times New Roman" w:hAnsi="Times New Roman" w:cs="Times New Roman"/>
          <w:sz w:val="24"/>
          <w:szCs w:val="24"/>
        </w:rPr>
        <w:t>Р</w:t>
      </w:r>
      <w:r w:rsidR="00E674B7" w:rsidRPr="00935C72">
        <w:rPr>
          <w:rFonts w:ascii="Times New Roman" w:hAnsi="Times New Roman" w:cs="Times New Roman"/>
          <w:sz w:val="24"/>
          <w:szCs w:val="24"/>
        </w:rPr>
        <w:t>еестра договоров об инвестировании</w:t>
      </w:r>
      <w:r w:rsidRPr="00935C72">
        <w:rPr>
          <w:rFonts w:ascii="Times New Roman" w:hAnsi="Times New Roman" w:cs="Times New Roman"/>
          <w:sz w:val="24"/>
          <w:szCs w:val="24"/>
        </w:rPr>
        <w:t>,</w:t>
      </w:r>
      <w:r w:rsidR="00E674B7" w:rsidRPr="00935C72">
        <w:rPr>
          <w:rFonts w:ascii="Times New Roman" w:hAnsi="Times New Roman" w:cs="Times New Roman"/>
          <w:sz w:val="24"/>
          <w:szCs w:val="24"/>
        </w:rPr>
        <w:t xml:space="preserve"> подтверждающую их право собственности </w:t>
      </w:r>
      <w:r w:rsidR="0015384C" w:rsidRPr="00935C72">
        <w:rPr>
          <w:rFonts w:ascii="Times New Roman" w:hAnsi="Times New Roman" w:cs="Times New Roman"/>
          <w:sz w:val="24"/>
          <w:szCs w:val="24"/>
        </w:rPr>
        <w:t xml:space="preserve">на </w:t>
      </w:r>
      <w:r w:rsidR="00E674B7" w:rsidRPr="00935C72">
        <w:rPr>
          <w:rFonts w:ascii="Times New Roman" w:hAnsi="Times New Roman" w:cs="Times New Roman"/>
          <w:sz w:val="24"/>
          <w:szCs w:val="24"/>
        </w:rPr>
        <w:t>количество токенов (УЦП)</w:t>
      </w:r>
      <w:r w:rsidR="00556CE2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>выпущенных Лицом привлекающим инвестиции</w:t>
      </w:r>
      <w:r w:rsidR="00E674B7" w:rsidRPr="00935C72">
        <w:rPr>
          <w:rFonts w:ascii="Times New Roman" w:hAnsi="Times New Roman" w:cs="Times New Roman"/>
          <w:sz w:val="24"/>
          <w:szCs w:val="24"/>
        </w:rPr>
        <w:t>, соответствующих масштабу инвестирования</w:t>
      </w:r>
      <w:r w:rsidRPr="00935C72">
        <w:rPr>
          <w:rFonts w:ascii="Times New Roman" w:hAnsi="Times New Roman" w:cs="Times New Roman"/>
          <w:sz w:val="24"/>
          <w:szCs w:val="24"/>
        </w:rPr>
        <w:t>.</w:t>
      </w:r>
      <w:r w:rsidRPr="00935C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</w:p>
    <w:p w:rsidR="00A65A4F" w:rsidRPr="00935C72" w:rsidRDefault="00E674B7" w:rsidP="00935C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 </w:t>
      </w:r>
      <w:r w:rsidR="002205B9">
        <w:rPr>
          <w:rFonts w:ascii="Times New Roman" w:hAnsi="Times New Roman" w:cs="Times New Roman"/>
          <w:sz w:val="24"/>
          <w:szCs w:val="24"/>
        </w:rPr>
        <w:t xml:space="preserve"> 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Предполагается, что после этого 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денежные </w:t>
      </w:r>
      <w:r w:rsidR="002E69A3" w:rsidRPr="00935C72">
        <w:rPr>
          <w:rFonts w:ascii="Times New Roman" w:hAnsi="Times New Roman" w:cs="Times New Roman"/>
          <w:sz w:val="24"/>
          <w:szCs w:val="24"/>
        </w:rPr>
        <w:t>средства,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 полученные от Инвесторов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на номинальный счет Регистратора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 в банке ГБ, перечисляются Лицу привлекающему инвестиции. </w:t>
      </w:r>
      <w:r w:rsidR="00A65A4F" w:rsidRPr="00935C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4B7" w:rsidRPr="00935C72" w:rsidRDefault="00FD3E3A" w:rsidP="00935C72">
      <w:pPr>
        <w:pStyle w:val="a8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 привлекающее инвестиции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информируется Регистратором Д о структуре владения выпущенными им токенами (УЦП) по итогам размещения согласно условиям закрытого инвестиционного предложения.</w:t>
      </w:r>
    </w:p>
    <w:p w:rsidR="00E755D2" w:rsidRPr="00935C72" w:rsidRDefault="00E755D2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3E3A" w:rsidRPr="00935C72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="00FD3E3A"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="00FD3E3A" w:rsidRPr="00935C72">
        <w:rPr>
          <w:rFonts w:ascii="Times New Roman" w:hAnsi="Times New Roman" w:cs="Times New Roman"/>
          <w:sz w:val="24"/>
          <w:szCs w:val="24"/>
        </w:rPr>
        <w:t xml:space="preserve">   Лицо привлекающее инвестиции получает информационный доступ к электронному профилю каждого своего Инвестора в РБД </w:t>
      </w:r>
      <w:proofErr w:type="gramStart"/>
      <w:r w:rsidR="00FD3E3A" w:rsidRPr="00935C72">
        <w:rPr>
          <w:rFonts w:ascii="Times New Roman" w:hAnsi="Times New Roman" w:cs="Times New Roman"/>
          <w:sz w:val="24"/>
          <w:szCs w:val="24"/>
        </w:rPr>
        <w:t>ИПС .</w:t>
      </w:r>
      <w:proofErr w:type="gramEnd"/>
    </w:p>
    <w:p w:rsidR="00A65A4F" w:rsidRPr="00935C72" w:rsidRDefault="00A65A4F" w:rsidP="00935C7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755D2" w:rsidRPr="00935C72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935C72">
        <w:rPr>
          <w:rFonts w:ascii="Times New Roman" w:hAnsi="Times New Roman" w:cs="Times New Roman"/>
          <w:b/>
          <w:sz w:val="24"/>
          <w:szCs w:val="24"/>
        </w:rPr>
        <w:t>)</w:t>
      </w: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15384C" w:rsidRPr="00935C72">
        <w:rPr>
          <w:rFonts w:ascii="Times New Roman" w:hAnsi="Times New Roman" w:cs="Times New Roman"/>
          <w:sz w:val="24"/>
          <w:szCs w:val="24"/>
        </w:rPr>
        <w:t>Участники пилотного проекта проводят тестовую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384C" w:rsidRPr="00935C72">
        <w:rPr>
          <w:rFonts w:ascii="Times New Roman" w:hAnsi="Times New Roman" w:cs="Times New Roman"/>
          <w:sz w:val="24"/>
          <w:szCs w:val="24"/>
        </w:rPr>
        <w:t xml:space="preserve">сверку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информации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, экспортированную регистратором </w:t>
      </w:r>
      <w:r w:rsidR="0015384C" w:rsidRPr="00935C72">
        <w:rPr>
          <w:rFonts w:ascii="Times New Roman" w:hAnsi="Times New Roman" w:cs="Times New Roman"/>
          <w:sz w:val="24"/>
          <w:szCs w:val="24"/>
        </w:rPr>
        <w:t xml:space="preserve">Д </w:t>
      </w:r>
      <w:r w:rsidRPr="00935C72">
        <w:rPr>
          <w:rFonts w:ascii="Times New Roman" w:hAnsi="Times New Roman" w:cs="Times New Roman"/>
          <w:sz w:val="24"/>
          <w:szCs w:val="24"/>
        </w:rPr>
        <w:t xml:space="preserve">в РБД </w:t>
      </w:r>
      <w:r w:rsidR="0015384C" w:rsidRPr="00935C72">
        <w:rPr>
          <w:rFonts w:ascii="Times New Roman" w:hAnsi="Times New Roman" w:cs="Times New Roman"/>
          <w:sz w:val="24"/>
          <w:szCs w:val="24"/>
        </w:rPr>
        <w:t>ИПС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 импортированную </w:t>
      </w:r>
      <w:r w:rsidR="0015384C" w:rsidRPr="00935C72">
        <w:rPr>
          <w:rFonts w:ascii="Times New Roman" w:hAnsi="Times New Roman" w:cs="Times New Roman"/>
          <w:sz w:val="24"/>
          <w:szCs w:val="24"/>
        </w:rPr>
        <w:t>Лицом  привлекающим инвестиции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из электронного профиля </w:t>
      </w:r>
      <w:r w:rsidR="0015384C" w:rsidRPr="00935C72">
        <w:rPr>
          <w:rFonts w:ascii="Times New Roman" w:hAnsi="Times New Roman" w:cs="Times New Roman"/>
          <w:sz w:val="24"/>
          <w:szCs w:val="24"/>
        </w:rPr>
        <w:t>каждого инвестора</w:t>
      </w:r>
      <w:r w:rsidR="00556CE2" w:rsidRPr="00935C72">
        <w:rPr>
          <w:rFonts w:ascii="Times New Roman" w:hAnsi="Times New Roman" w:cs="Times New Roman"/>
          <w:sz w:val="24"/>
          <w:szCs w:val="24"/>
        </w:rPr>
        <w:t xml:space="preserve">, а 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также информации содержащейся в </w:t>
      </w:r>
      <w:r w:rsidR="00556CE2" w:rsidRPr="00935C72">
        <w:rPr>
          <w:rFonts w:ascii="Times New Roman" w:hAnsi="Times New Roman" w:cs="Times New Roman"/>
          <w:sz w:val="24"/>
          <w:szCs w:val="24"/>
        </w:rPr>
        <w:t xml:space="preserve"> Р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еестре договоров </w:t>
      </w:r>
      <w:r w:rsidR="00556CE2" w:rsidRPr="00935C72">
        <w:rPr>
          <w:rFonts w:ascii="Times New Roman" w:hAnsi="Times New Roman" w:cs="Times New Roman"/>
          <w:sz w:val="24"/>
          <w:szCs w:val="24"/>
        </w:rPr>
        <w:t xml:space="preserve"> р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егистратора </w:t>
      </w:r>
      <w:r w:rsidR="00556CE2" w:rsidRPr="00935C72">
        <w:rPr>
          <w:rFonts w:ascii="Times New Roman" w:hAnsi="Times New Roman" w:cs="Times New Roman"/>
          <w:sz w:val="24"/>
          <w:szCs w:val="24"/>
        </w:rPr>
        <w:t>Д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 и выписках полученных </w:t>
      </w:r>
      <w:r w:rsidR="00556CE2" w:rsidRPr="00935C72">
        <w:rPr>
          <w:rFonts w:ascii="Times New Roman" w:hAnsi="Times New Roman" w:cs="Times New Roman"/>
          <w:sz w:val="24"/>
          <w:szCs w:val="24"/>
        </w:rPr>
        <w:t>от него И</w:t>
      </w:r>
      <w:r w:rsidR="00E755D2" w:rsidRPr="00935C72">
        <w:rPr>
          <w:rFonts w:ascii="Times New Roman" w:hAnsi="Times New Roman" w:cs="Times New Roman"/>
          <w:sz w:val="24"/>
          <w:szCs w:val="24"/>
        </w:rPr>
        <w:t xml:space="preserve">нвесторами и Лицом привлекающем инвестиции. </w:t>
      </w:r>
    </w:p>
    <w:p w:rsidR="00A65A4F" w:rsidRPr="00935C72" w:rsidRDefault="00A65A4F" w:rsidP="00A65A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875" w:rsidRPr="00935C72" w:rsidRDefault="00D92875" w:rsidP="00E63B5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3ADD" w:rsidRPr="00935C72" w:rsidRDefault="00BB3ADD" w:rsidP="00E63B58">
      <w:pPr>
        <w:pStyle w:val="a8"/>
        <w:numPr>
          <w:ilvl w:val="0"/>
          <w:numId w:val="9"/>
        </w:numPr>
        <w:spacing w:line="240" w:lineRule="auto"/>
        <w:ind w:hanging="57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C72">
        <w:rPr>
          <w:rFonts w:ascii="Times New Roman" w:hAnsi="Times New Roman" w:cs="Times New Roman"/>
          <w:b/>
          <w:sz w:val="24"/>
          <w:szCs w:val="24"/>
        </w:rPr>
        <w:t>Информация о наличии разработанного прототипа (модели) финансового сервиса (технологии) либо его ключевого технологического компонента, обеспечивающего возможность его предоставления (применения) участникам(и) финансового рынка.</w:t>
      </w:r>
    </w:p>
    <w:p w:rsidR="00D92875" w:rsidRPr="00935C72" w:rsidRDefault="00D92875" w:rsidP="00E63B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C72" w:rsidRPr="00935C72" w:rsidRDefault="00A65A4F" w:rsidP="00A65A4F">
      <w:pPr>
        <w:shd w:val="clear" w:color="auto" w:fill="FFFFFF"/>
        <w:tabs>
          <w:tab w:val="left" w:pos="989"/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На данный момент СТАР, </w:t>
      </w:r>
      <w:r w:rsidRPr="00935C72">
        <w:rPr>
          <w:rFonts w:ascii="Times New Roman" w:hAnsi="Times New Roman" w:cs="Times New Roman"/>
          <w:sz w:val="24"/>
          <w:szCs w:val="24"/>
        </w:rPr>
        <w:t>разработанная и поддерживаемая З</w:t>
      </w:r>
      <w:r w:rsidR="004A7C8C" w:rsidRPr="00935C72">
        <w:rPr>
          <w:rFonts w:ascii="Times New Roman" w:hAnsi="Times New Roman" w:cs="Times New Roman"/>
          <w:sz w:val="24"/>
          <w:szCs w:val="24"/>
        </w:rPr>
        <w:t>аявителем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,  охватила уже </w:t>
      </w:r>
      <w:r w:rsidR="0068097E">
        <w:rPr>
          <w:rFonts w:ascii="Times New Roman" w:hAnsi="Times New Roman" w:cs="Times New Roman"/>
          <w:sz w:val="24"/>
          <w:szCs w:val="24"/>
        </w:rPr>
        <w:t xml:space="preserve">около </w:t>
      </w:r>
      <w:r w:rsidR="00005FC8" w:rsidRPr="00935C72">
        <w:rPr>
          <w:rFonts w:ascii="Times New Roman" w:hAnsi="Times New Roman" w:cs="Times New Roman"/>
          <w:sz w:val="24"/>
          <w:szCs w:val="24"/>
        </w:rPr>
        <w:t>7</w:t>
      </w:r>
      <w:r w:rsidR="0068097E">
        <w:rPr>
          <w:rFonts w:ascii="Times New Roman" w:hAnsi="Times New Roman" w:cs="Times New Roman"/>
          <w:sz w:val="24"/>
          <w:szCs w:val="24"/>
        </w:rPr>
        <w:t>0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 из 85 регионов РФ. В </w:t>
      </w:r>
      <w:proofErr w:type="gramStart"/>
      <w:r w:rsidR="00005FC8" w:rsidRPr="00935C72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="00005FC8" w:rsidRPr="00935C72">
        <w:rPr>
          <w:rFonts w:ascii="Times New Roman" w:hAnsi="Times New Roman" w:cs="Times New Roman"/>
          <w:sz w:val="24"/>
          <w:szCs w:val="24"/>
        </w:rPr>
        <w:t xml:space="preserve"> работает 20 регистраторов и представлено </w:t>
      </w:r>
      <w:r w:rsidR="0068097E">
        <w:rPr>
          <w:rFonts w:ascii="Times New Roman" w:hAnsi="Times New Roman" w:cs="Times New Roman"/>
          <w:sz w:val="24"/>
          <w:szCs w:val="24"/>
        </w:rPr>
        <w:t>более</w:t>
      </w:r>
      <w:r w:rsidR="002205B9">
        <w:rPr>
          <w:rFonts w:ascii="Times New Roman" w:hAnsi="Times New Roman" w:cs="Times New Roman"/>
          <w:sz w:val="24"/>
          <w:szCs w:val="24"/>
        </w:rPr>
        <w:t xml:space="preserve"> </w:t>
      </w:r>
      <w:r w:rsidR="00005FC8" w:rsidRPr="00935C72">
        <w:rPr>
          <w:rFonts w:ascii="Times New Roman" w:hAnsi="Times New Roman" w:cs="Times New Roman"/>
          <w:sz w:val="24"/>
          <w:szCs w:val="24"/>
        </w:rPr>
        <w:t>16</w:t>
      </w:r>
      <w:r w:rsidR="002205B9">
        <w:rPr>
          <w:rFonts w:ascii="Times New Roman" w:hAnsi="Times New Roman" w:cs="Times New Roman"/>
          <w:sz w:val="24"/>
          <w:szCs w:val="24"/>
        </w:rPr>
        <w:t>0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 их филиалов. Используя СТАР, акционеры 2369 эмитентов могут обмениваться документами со своим</w:t>
      </w:r>
      <w:r w:rsidRPr="00935C72">
        <w:rPr>
          <w:rFonts w:ascii="Times New Roman" w:hAnsi="Times New Roman" w:cs="Times New Roman"/>
          <w:sz w:val="24"/>
          <w:szCs w:val="24"/>
        </w:rPr>
        <w:t>и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 регистратор</w:t>
      </w:r>
      <w:r w:rsidRPr="00935C72">
        <w:rPr>
          <w:rFonts w:ascii="Times New Roman" w:hAnsi="Times New Roman" w:cs="Times New Roman"/>
          <w:sz w:val="24"/>
          <w:szCs w:val="24"/>
        </w:rPr>
        <w:t>ами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 в электронной форме по всей территории страны. Данная система не только помогла регистраторам обеспечить соблюдение лицензионных требований, но и создала более комфортные условия работы для эмитентов и  их акционеров.</w:t>
      </w:r>
    </w:p>
    <w:p w:rsidR="00005FC8" w:rsidRPr="00935C72" w:rsidRDefault="00005FC8" w:rsidP="00A65A4F">
      <w:pPr>
        <w:shd w:val="clear" w:color="auto" w:fill="FFFFFF"/>
        <w:tabs>
          <w:tab w:val="left" w:pos="989"/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="00935C72" w:rsidRPr="00935C72">
        <w:rPr>
          <w:rFonts w:ascii="Times New Roman" w:hAnsi="Times New Roman" w:cs="Times New Roman"/>
          <w:sz w:val="24"/>
          <w:szCs w:val="24"/>
        </w:rPr>
        <w:t xml:space="preserve">      </w:t>
      </w:r>
      <w:r w:rsidRPr="00935C72">
        <w:rPr>
          <w:rFonts w:ascii="Times New Roman" w:hAnsi="Times New Roman" w:cs="Times New Roman"/>
          <w:sz w:val="24"/>
          <w:szCs w:val="24"/>
        </w:rPr>
        <w:t xml:space="preserve">Направлениями развития  </w:t>
      </w:r>
      <w:proofErr w:type="gramStart"/>
      <w:r w:rsidRPr="00935C72">
        <w:rPr>
          <w:rFonts w:ascii="Times New Roman" w:hAnsi="Times New Roman" w:cs="Times New Roman"/>
          <w:sz w:val="24"/>
          <w:szCs w:val="24"/>
        </w:rPr>
        <w:t xml:space="preserve">СТАР </w:t>
      </w:r>
      <w:r w:rsidR="00A65A4F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 xml:space="preserve"> в рамках  будущей  ИПС являются</w:t>
      </w:r>
      <w:proofErr w:type="gramEnd"/>
      <w:r w:rsidRPr="00935C72">
        <w:rPr>
          <w:rFonts w:ascii="Times New Roman" w:hAnsi="Times New Roman" w:cs="Times New Roman"/>
          <w:sz w:val="24"/>
          <w:szCs w:val="24"/>
        </w:rPr>
        <w:t xml:space="preserve">: унификация  документооборота </w:t>
      </w:r>
      <w:r w:rsidR="002205B9">
        <w:rPr>
          <w:rFonts w:ascii="Times New Roman" w:hAnsi="Times New Roman" w:cs="Times New Roman"/>
          <w:sz w:val="24"/>
          <w:szCs w:val="24"/>
        </w:rPr>
        <w:t xml:space="preserve">регистраторов </w:t>
      </w:r>
      <w:r w:rsidRPr="00935C72">
        <w:rPr>
          <w:rFonts w:ascii="Times New Roman" w:hAnsi="Times New Roman" w:cs="Times New Roman"/>
          <w:sz w:val="24"/>
          <w:szCs w:val="24"/>
        </w:rPr>
        <w:t xml:space="preserve">с госорганами и переход на формализованные документы между ее участниками в форматах </w:t>
      </w:r>
      <w:r w:rsidRPr="00935C72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935C72">
        <w:rPr>
          <w:rFonts w:ascii="Times New Roman" w:hAnsi="Times New Roman" w:cs="Times New Roman"/>
          <w:sz w:val="24"/>
          <w:szCs w:val="24"/>
        </w:rPr>
        <w:t>, а также расширение списка принимаемых документов в целом.</w:t>
      </w:r>
    </w:p>
    <w:p w:rsidR="00005FC8" w:rsidRPr="00935C72" w:rsidRDefault="002205B9" w:rsidP="00A65A4F">
      <w:pPr>
        <w:shd w:val="clear" w:color="auto" w:fill="FFFFFF"/>
        <w:tabs>
          <w:tab w:val="left" w:pos="989"/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FC8" w:rsidRPr="00935C72">
        <w:rPr>
          <w:rFonts w:ascii="Times New Roman" w:hAnsi="Times New Roman" w:cs="Times New Roman"/>
          <w:sz w:val="24"/>
          <w:szCs w:val="24"/>
        </w:rPr>
        <w:t xml:space="preserve">  Дальнейшее развитие </w:t>
      </w:r>
      <w:proofErr w:type="gramStart"/>
      <w:r w:rsidR="00005FC8" w:rsidRPr="00935C72">
        <w:rPr>
          <w:rFonts w:ascii="Times New Roman" w:hAnsi="Times New Roman" w:cs="Times New Roman"/>
          <w:sz w:val="24"/>
          <w:szCs w:val="24"/>
        </w:rPr>
        <w:t>СТАР</w:t>
      </w:r>
      <w:proofErr w:type="gramEnd"/>
      <w:r w:rsidR="00A65A4F" w:rsidRPr="00935C72">
        <w:rPr>
          <w:rFonts w:ascii="Times New Roman" w:hAnsi="Times New Roman" w:cs="Times New Roman"/>
          <w:sz w:val="24"/>
          <w:szCs w:val="24"/>
        </w:rPr>
        <w:t xml:space="preserve"> и иных трансфер-агентских сервисов</w:t>
      </w:r>
      <w:r w:rsidR="00005FC8" w:rsidRPr="00935C72">
        <w:rPr>
          <w:rFonts w:ascii="Times New Roman" w:hAnsi="Times New Roman" w:cs="Times New Roman"/>
          <w:sz w:val="24"/>
          <w:szCs w:val="24"/>
        </w:rPr>
        <w:t>, как компонента ИПС, предполагает вовлечение в систему новых участников финансового рынка и зарегистрированных лиц.</w:t>
      </w:r>
    </w:p>
    <w:p w:rsidR="00005FC8" w:rsidRPr="00935C72" w:rsidRDefault="00005FC8" w:rsidP="00A65A4F">
      <w:pPr>
        <w:shd w:val="clear" w:color="auto" w:fill="FFFFFF"/>
        <w:tabs>
          <w:tab w:val="left" w:pos="989"/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</w:t>
      </w:r>
      <w:r w:rsidRPr="00935C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 качестве блокчейн-сети обновляемого транспортного ядра системы ЭДО ПАРТАД, - ПТК МИГ,</w:t>
      </w:r>
      <w:r w:rsidR="002E69A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в 2019 г. использована  сеть </w:t>
      </w:r>
      <w:r w:rsidRPr="00935C7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Parta</w:t>
      </w:r>
      <w:r w:rsidRPr="00935C72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  <w:lang w:val="en-US"/>
        </w:rPr>
        <w:t>dchain</w:t>
      </w:r>
      <w:r w:rsidRPr="00935C7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созданная в 2018 г. </w:t>
      </w:r>
      <w:r w:rsidRPr="00935C72">
        <w:rPr>
          <w:rFonts w:ascii="Times New Roman" w:hAnsi="Times New Roman" w:cs="Times New Roman"/>
          <w:sz w:val="24"/>
          <w:szCs w:val="24"/>
        </w:rPr>
        <w:t xml:space="preserve">на базе приватного блокчейна  </w:t>
      </w:r>
      <w:r w:rsidRPr="00935C72">
        <w:rPr>
          <w:rFonts w:ascii="Times New Roman" w:hAnsi="Times New Roman" w:cs="Times New Roman"/>
          <w:i/>
          <w:sz w:val="24"/>
          <w:szCs w:val="24"/>
        </w:rPr>
        <w:t>Ethereum</w:t>
      </w:r>
      <w:r w:rsidRPr="00935C72">
        <w:rPr>
          <w:rFonts w:ascii="Times New Roman" w:hAnsi="Times New Roman" w:cs="Times New Roman"/>
          <w:sz w:val="24"/>
          <w:szCs w:val="24"/>
        </w:rPr>
        <w:t xml:space="preserve"> с использованием алгоритма </w:t>
      </w:r>
      <w:r w:rsidRPr="00935C7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Proof of Authority - РоА</w:t>
      </w:r>
      <w:r w:rsidRPr="00935C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(право на запись имеет только идентифицировавший себя узел)</w:t>
      </w:r>
      <w:r w:rsidRPr="00935C72">
        <w:rPr>
          <w:rFonts w:ascii="Times New Roman" w:hAnsi="Times New Roman" w:cs="Times New Roman"/>
          <w:sz w:val="24"/>
          <w:szCs w:val="24"/>
        </w:rPr>
        <w:t xml:space="preserve"> и распределённой системы хранения файлов </w:t>
      </w:r>
      <w:r w:rsidRPr="00935C72">
        <w:rPr>
          <w:rFonts w:ascii="Times New Roman" w:hAnsi="Times New Roman" w:cs="Times New Roman"/>
          <w:i/>
          <w:sz w:val="24"/>
          <w:szCs w:val="24"/>
        </w:rPr>
        <w:t>SWARM</w:t>
      </w:r>
      <w:r w:rsidRPr="00935C72">
        <w:rPr>
          <w:rFonts w:ascii="Times New Roman" w:hAnsi="Times New Roman" w:cs="Times New Roman"/>
          <w:sz w:val="24"/>
          <w:szCs w:val="24"/>
        </w:rPr>
        <w:t>. Созданные участниками сети (6 регистраторов и 4 депозитария на данный момент) на основе алгоритма PoA  блоки с информацией о транзакциях проверяются утвержденными учетными записями, известными как «валидаторы». Тестирование блокчейн-варианта ПТК МИГ намечено на декабрь 2019 г</w:t>
      </w:r>
      <w:r w:rsidR="002E69A3">
        <w:rPr>
          <w:rFonts w:ascii="Times New Roman" w:hAnsi="Times New Roman" w:cs="Times New Roman"/>
          <w:sz w:val="24"/>
          <w:szCs w:val="24"/>
        </w:rPr>
        <w:t>.</w:t>
      </w:r>
    </w:p>
    <w:p w:rsidR="00005FC8" w:rsidRPr="00935C72" w:rsidRDefault="00005FC8" w:rsidP="00326CD7">
      <w:pPr>
        <w:shd w:val="clear" w:color="auto" w:fill="FFFFFF"/>
        <w:tabs>
          <w:tab w:val="left" w:pos="567"/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pacing w:val="-40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>В настоящее время также решается  задача интеграции ПТК МИГ с программно-техническим комплексом 1С: Бухгалтерия в целях оптимизации  взаиморасчетов</w:t>
      </w:r>
      <w:r w:rsidR="00A65A4F" w:rsidRPr="00935C72">
        <w:rPr>
          <w:rFonts w:ascii="Times New Roman" w:hAnsi="Times New Roman" w:cs="Times New Roman"/>
          <w:sz w:val="24"/>
          <w:szCs w:val="24"/>
        </w:rPr>
        <w:t xml:space="preserve"> </w:t>
      </w:r>
      <w:r w:rsidRPr="00935C72">
        <w:rPr>
          <w:rFonts w:ascii="Times New Roman" w:hAnsi="Times New Roman" w:cs="Times New Roman"/>
          <w:sz w:val="24"/>
          <w:szCs w:val="24"/>
        </w:rPr>
        <w:t>между участниками СТАР.</w:t>
      </w:r>
    </w:p>
    <w:p w:rsidR="00005FC8" w:rsidRDefault="00005FC8" w:rsidP="00326CD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C72">
        <w:rPr>
          <w:rFonts w:ascii="Times New Roman" w:hAnsi="Times New Roman" w:cs="Times New Roman"/>
          <w:sz w:val="24"/>
          <w:szCs w:val="24"/>
        </w:rPr>
        <w:t xml:space="preserve">     Результат</w:t>
      </w:r>
      <w:r w:rsidR="00A65A4F" w:rsidRPr="00935C72">
        <w:rPr>
          <w:rFonts w:ascii="Times New Roman" w:hAnsi="Times New Roman" w:cs="Times New Roman"/>
          <w:sz w:val="24"/>
          <w:szCs w:val="24"/>
        </w:rPr>
        <w:t>ы</w:t>
      </w:r>
      <w:r w:rsidRPr="00935C72">
        <w:rPr>
          <w:rFonts w:ascii="Times New Roman" w:hAnsi="Times New Roman" w:cs="Times New Roman"/>
          <w:sz w:val="24"/>
          <w:szCs w:val="24"/>
        </w:rPr>
        <w:t xml:space="preserve"> пилотных проектов по созданию блокчейн-сети </w:t>
      </w:r>
      <w:r w:rsidRPr="00935C72">
        <w:rPr>
          <w:rFonts w:ascii="Times New Roman" w:eastAsia="Times New Roman" w:hAnsi="Times New Roman" w:cs="Times New Roman"/>
          <w:sz w:val="24"/>
          <w:szCs w:val="24"/>
        </w:rPr>
        <w:t xml:space="preserve">предлагается в рамках ИПС использовать для  формирования распределённой базы выпусков ценных бумаг и УЦП зарегистрированных операторами инвестиционных </w:t>
      </w:r>
      <w:proofErr w:type="gramStart"/>
      <w:r w:rsidRPr="00935C72">
        <w:rPr>
          <w:rFonts w:ascii="Times New Roman" w:eastAsia="Times New Roman" w:hAnsi="Times New Roman" w:cs="Times New Roman"/>
          <w:sz w:val="24"/>
          <w:szCs w:val="24"/>
        </w:rPr>
        <w:t>платформ-участниками</w:t>
      </w:r>
      <w:proofErr w:type="gramEnd"/>
      <w:r w:rsidRPr="00935C72">
        <w:rPr>
          <w:rFonts w:ascii="Times New Roman" w:eastAsia="Times New Roman" w:hAnsi="Times New Roman" w:cs="Times New Roman"/>
          <w:sz w:val="24"/>
          <w:szCs w:val="24"/>
        </w:rPr>
        <w:t xml:space="preserve"> ИПС, а также РБД электронных профилей владельцев личных кабинетов на ИПС. </w:t>
      </w:r>
    </w:p>
    <w:p w:rsidR="00C24522" w:rsidRDefault="00C24522" w:rsidP="00326CD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522" w:rsidRPr="00B0186C" w:rsidRDefault="00C24522" w:rsidP="00C24522">
      <w:pPr>
        <w:pStyle w:val="a8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86C">
        <w:rPr>
          <w:rFonts w:ascii="Times New Roman" w:hAnsi="Times New Roman" w:cs="Times New Roman"/>
          <w:b/>
          <w:sz w:val="24"/>
          <w:szCs w:val="24"/>
        </w:rPr>
        <w:t>Дополнительные сведения, влияющие на принятие решения (при наличии):</w:t>
      </w:r>
    </w:p>
    <w:p w:rsidR="00C24522" w:rsidRDefault="00C24522" w:rsidP="00C24522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4522" w:rsidRPr="00B0186C" w:rsidRDefault="00C24522" w:rsidP="00C24522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186C">
        <w:rPr>
          <w:rFonts w:ascii="Times New Roman" w:hAnsi="Times New Roman" w:cs="Times New Roman"/>
          <w:sz w:val="24"/>
          <w:szCs w:val="24"/>
        </w:rPr>
        <w:t>Проявлена  заинтересованность со стороны ряда регистраторов и спецдепозитариев – членов ПАРТАД в реализации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522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ИПС</w:t>
      </w:r>
      <w:r w:rsidRPr="00B0186C">
        <w:rPr>
          <w:rFonts w:ascii="Times New Roman" w:hAnsi="Times New Roman" w:cs="Times New Roman"/>
          <w:sz w:val="24"/>
          <w:szCs w:val="24"/>
        </w:rPr>
        <w:t>, в т.ч</w:t>
      </w:r>
      <w:r w:rsidR="0068097E">
        <w:rPr>
          <w:rFonts w:ascii="Times New Roman" w:hAnsi="Times New Roman" w:cs="Times New Roman"/>
          <w:sz w:val="24"/>
          <w:szCs w:val="24"/>
        </w:rPr>
        <w:t>.</w:t>
      </w:r>
      <w:r w:rsidRPr="00B0186C">
        <w:rPr>
          <w:rFonts w:ascii="Times New Roman" w:hAnsi="Times New Roman" w:cs="Times New Roman"/>
          <w:sz w:val="24"/>
          <w:szCs w:val="24"/>
        </w:rPr>
        <w:t xml:space="preserve"> об участии в реализации соответствующего </w:t>
      </w:r>
      <w:r>
        <w:rPr>
          <w:rFonts w:ascii="Times New Roman" w:hAnsi="Times New Roman" w:cs="Times New Roman"/>
          <w:sz w:val="24"/>
          <w:szCs w:val="24"/>
        </w:rPr>
        <w:t>сценария пилотирования</w:t>
      </w:r>
      <w:r w:rsidRPr="00B0186C">
        <w:rPr>
          <w:rFonts w:ascii="Times New Roman" w:hAnsi="Times New Roman" w:cs="Times New Roman"/>
          <w:sz w:val="24"/>
          <w:szCs w:val="24"/>
        </w:rPr>
        <w:t xml:space="preserve"> (см.п.1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186C">
        <w:rPr>
          <w:rFonts w:ascii="Times New Roman" w:hAnsi="Times New Roman" w:cs="Times New Roman"/>
          <w:sz w:val="24"/>
          <w:szCs w:val="24"/>
        </w:rPr>
        <w:t xml:space="preserve">). С ними также достигнуты предварительные договоренности об участии  в проектном финансировании ИПС. </w:t>
      </w:r>
    </w:p>
    <w:p w:rsidR="00C24522" w:rsidRPr="00935C72" w:rsidRDefault="00C24522" w:rsidP="00B0186C">
      <w:pPr>
        <w:pStyle w:val="a8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4E6E66">
        <w:rPr>
          <w:rFonts w:ascii="Times New Roman" w:hAnsi="Times New Roman" w:cs="Times New Roman"/>
          <w:sz w:val="24"/>
          <w:szCs w:val="24"/>
        </w:rPr>
        <w:t xml:space="preserve">С этой целью </w:t>
      </w:r>
      <w:r w:rsidRPr="00B0186C">
        <w:rPr>
          <w:rFonts w:ascii="Times New Roman" w:hAnsi="Times New Roman" w:cs="Times New Roman"/>
          <w:sz w:val="24"/>
          <w:szCs w:val="24"/>
        </w:rPr>
        <w:t xml:space="preserve"> ПАРТАД планируется</w:t>
      </w:r>
      <w:r>
        <w:rPr>
          <w:rFonts w:ascii="Times New Roman" w:hAnsi="Times New Roman" w:cs="Times New Roman"/>
          <w:sz w:val="24"/>
          <w:szCs w:val="24"/>
        </w:rPr>
        <w:t xml:space="preserve"> в 2020 г.</w:t>
      </w:r>
      <w:r w:rsidRPr="00B0186C">
        <w:rPr>
          <w:rFonts w:ascii="Times New Roman" w:hAnsi="Times New Roman" w:cs="Times New Roman"/>
          <w:sz w:val="24"/>
          <w:szCs w:val="24"/>
        </w:rPr>
        <w:t xml:space="preserve"> размещение утилитарных цифровых прав (УЦП) ПАРТАД среди членов. </w:t>
      </w:r>
      <w:bookmarkStart w:id="0" w:name="_GoBack"/>
      <w:bookmarkEnd w:id="0"/>
    </w:p>
    <w:sectPr w:rsidR="00C24522" w:rsidRPr="00935C72" w:rsidSect="00E63B58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22" w:rsidRDefault="00FA3622" w:rsidP="00536E5F">
      <w:pPr>
        <w:spacing w:after="0" w:line="240" w:lineRule="auto"/>
      </w:pPr>
      <w:r>
        <w:separator/>
      </w:r>
    </w:p>
  </w:endnote>
  <w:endnote w:type="continuationSeparator" w:id="0">
    <w:p w:rsidR="00FA3622" w:rsidRDefault="00FA3622" w:rsidP="0053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22" w:rsidRDefault="00FA3622" w:rsidP="00536E5F">
      <w:pPr>
        <w:spacing w:after="0" w:line="240" w:lineRule="auto"/>
      </w:pPr>
      <w:r>
        <w:separator/>
      </w:r>
    </w:p>
  </w:footnote>
  <w:footnote w:type="continuationSeparator" w:id="0">
    <w:p w:rsidR="00FA3622" w:rsidRDefault="00FA3622" w:rsidP="00536E5F">
      <w:pPr>
        <w:spacing w:after="0" w:line="240" w:lineRule="auto"/>
      </w:pPr>
      <w:r>
        <w:continuationSeparator/>
      </w:r>
    </w:p>
  </w:footnote>
  <w:footnote w:id="1">
    <w:p w:rsidR="009550BC" w:rsidRPr="004533FA" w:rsidRDefault="009550BC" w:rsidP="004533FA">
      <w:pPr>
        <w:pStyle w:val="af2"/>
        <w:jc w:val="both"/>
        <w:rPr>
          <w:rFonts w:ascii="Times New Roman" w:hAnsi="Times New Roman" w:cs="Times New Roman"/>
        </w:rPr>
      </w:pPr>
      <w:r w:rsidRPr="004533FA">
        <w:rPr>
          <w:rStyle w:val="af4"/>
          <w:rFonts w:ascii="Times New Roman" w:hAnsi="Times New Roman" w:cs="Times New Roman"/>
        </w:rPr>
        <w:footnoteRef/>
      </w:r>
      <w:r w:rsidRPr="004533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Скан-копию подписанной заявки и файл заявки </w:t>
      </w:r>
      <w:r w:rsidRPr="004533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docx</w:t>
      </w:r>
      <w:r w:rsidRPr="004533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необходимо направить на адрес </w:t>
      </w:r>
      <w:hyperlink r:id="rId1" w:history="1">
        <w:r w:rsidRPr="003A6A81">
          <w:rPr>
            <w:rStyle w:val="ab"/>
            <w:rFonts w:ascii="Times New Roman" w:hAnsi="Times New Roman" w:cs="Times New Roman"/>
            <w:lang w:val="en-US"/>
          </w:rPr>
          <w:t>fintech</w:t>
        </w:r>
        <w:r w:rsidRPr="004533FA">
          <w:rPr>
            <w:rStyle w:val="ab"/>
            <w:rFonts w:ascii="Times New Roman" w:hAnsi="Times New Roman" w:cs="Times New Roman"/>
          </w:rPr>
          <w:t>@</w:t>
        </w:r>
        <w:r w:rsidRPr="003A6A81">
          <w:rPr>
            <w:rStyle w:val="ab"/>
            <w:rFonts w:ascii="Times New Roman" w:hAnsi="Times New Roman" w:cs="Times New Roman"/>
            <w:lang w:val="en-US"/>
          </w:rPr>
          <w:t>cbr</w:t>
        </w:r>
        <w:r w:rsidRPr="004533FA">
          <w:rPr>
            <w:rStyle w:val="ab"/>
            <w:rFonts w:ascii="Times New Roman" w:hAnsi="Times New Roman" w:cs="Times New Roman"/>
          </w:rPr>
          <w:t>.</w:t>
        </w:r>
        <w:r w:rsidRPr="003A6A81">
          <w:rPr>
            <w:rStyle w:val="ab"/>
            <w:rFonts w:ascii="Times New Roman" w:hAnsi="Times New Roman" w:cs="Times New Roman"/>
            <w:lang w:val="en-US"/>
          </w:rPr>
          <w:t>ru</w:t>
        </w:r>
      </w:hyperlink>
      <w:r w:rsidRPr="004533FA">
        <w:rPr>
          <w:rFonts w:ascii="Times New Roman" w:hAnsi="Times New Roman" w:cs="Times New Roman"/>
        </w:rPr>
        <w:t xml:space="preserve"> </w:t>
      </w:r>
    </w:p>
  </w:footnote>
  <w:footnote w:id="2">
    <w:p w:rsidR="009550BC" w:rsidRDefault="009550BC" w:rsidP="002B7764">
      <w:pPr>
        <w:pStyle w:val="af2"/>
      </w:pPr>
      <w:r>
        <w:rPr>
          <w:rStyle w:val="af4"/>
        </w:rPr>
        <w:footnoteRef/>
      </w:r>
      <w:r>
        <w:t xml:space="preserve"> </w:t>
      </w:r>
      <w:r w:rsidRPr="00F63177">
        <w:t>Федеральный закон "О внесении изменений в Федеральный закон "О рынке ценных бумаг" и отдельные законодательные акты Российской Федерации в части совершенствования правового регулирования осуществления эмиссии ценных бумаг" от 27.12.2018 N 514-ФЗ</w:t>
      </w:r>
    </w:p>
    <w:p w:rsidR="009550BC" w:rsidRPr="00B37012" w:rsidRDefault="009550BC" w:rsidP="002B7764">
      <w:pPr>
        <w:pStyle w:val="af2"/>
      </w:pPr>
      <w:r w:rsidRPr="00B37012">
        <w:t>Федеральный закон "О привлечении инвестиций с использованием инвестиционных платформ и о внесении изменений в отдельные законодательные акты Российской Федерации" от 02.08.2019 № 259-ФЗ</w:t>
      </w:r>
    </w:p>
  </w:footnote>
  <w:footnote w:id="3">
    <w:p w:rsidR="009550BC" w:rsidRDefault="009550BC" w:rsidP="002B7764">
      <w:pPr>
        <w:pStyle w:val="af2"/>
      </w:pPr>
      <w:r>
        <w:rPr>
          <w:rStyle w:val="af4"/>
        </w:rPr>
        <w:footnoteRef/>
      </w:r>
      <w:r>
        <w:t xml:space="preserve"> </w:t>
      </w:r>
      <w:r w:rsidRPr="00B37012">
        <w:t>Федеральный закон "О привлечении инвестиций с использованием инвестиционных платформ и о внесении изменений в отдельные законодательные акты Российской Федерации" от 02.08.2019 № 259-ФЗ</w:t>
      </w:r>
    </w:p>
  </w:footnote>
  <w:footnote w:id="4">
    <w:p w:rsidR="009550BC" w:rsidRPr="00EB62F0" w:rsidRDefault="009550BC" w:rsidP="002B7764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lang w:val="en-US"/>
        </w:rPr>
        <w:t>Open</w:t>
      </w:r>
      <w:r w:rsidRPr="00EB62F0">
        <w:t xml:space="preserve"> </w:t>
      </w:r>
      <w:r>
        <w:rPr>
          <w:lang w:val="en-US"/>
        </w:rPr>
        <w:t>API</w:t>
      </w:r>
      <w:r w:rsidRPr="00EB62F0">
        <w:t xml:space="preserve"> </w:t>
      </w:r>
      <w:r>
        <w:t>– общедоступный централизованный программный интерфейс, позволяющий получить разработчику программный доступ к специализированной информационной системе.</w:t>
      </w:r>
    </w:p>
  </w:footnote>
  <w:footnote w:id="5">
    <w:p w:rsidR="009550BC" w:rsidRDefault="009550BC" w:rsidP="00F641F6">
      <w:pPr>
        <w:pStyle w:val="af2"/>
        <w:jc w:val="both"/>
      </w:pPr>
      <w:r>
        <w:rPr>
          <w:rStyle w:val="af4"/>
        </w:rPr>
        <w:footnoteRef/>
      </w:r>
      <w:r w:rsidRPr="00904A22">
        <w:t xml:space="preserve"> </w:t>
      </w:r>
      <w:r w:rsidRPr="00406DBA">
        <w:rPr>
          <w:i/>
          <w:lang w:val="en-US"/>
        </w:rPr>
        <w:t>API</w:t>
      </w:r>
      <w:r w:rsidRPr="00406DBA">
        <w:rPr>
          <w:i/>
        </w:rPr>
        <w:t xml:space="preserve"> (</w:t>
      </w:r>
      <w:r w:rsidRPr="00406DBA">
        <w:rPr>
          <w:i/>
          <w:lang w:val="en-US"/>
        </w:rPr>
        <w:t>Application</w:t>
      </w:r>
      <w:r w:rsidRPr="00406DBA">
        <w:rPr>
          <w:i/>
        </w:rPr>
        <w:t xml:space="preserve"> </w:t>
      </w:r>
      <w:r w:rsidRPr="00406DBA">
        <w:rPr>
          <w:i/>
          <w:lang w:val="en-US"/>
        </w:rPr>
        <w:t>program</w:t>
      </w:r>
      <w:r w:rsidRPr="00406DBA">
        <w:rPr>
          <w:i/>
        </w:rPr>
        <w:t xml:space="preserve"> </w:t>
      </w:r>
      <w:r w:rsidRPr="00406DBA">
        <w:rPr>
          <w:i/>
          <w:lang w:val="en-US"/>
        </w:rPr>
        <w:t>interface</w:t>
      </w:r>
      <w:r w:rsidRPr="00406DBA">
        <w:rPr>
          <w:i/>
        </w:rPr>
        <w:t>)</w:t>
      </w:r>
      <w:r w:rsidRPr="00904A22">
        <w:t xml:space="preserve"> – </w:t>
      </w:r>
      <w:r>
        <w:t>Программный</w:t>
      </w:r>
      <w:r w:rsidRPr="00904A22">
        <w:t xml:space="preserve"> </w:t>
      </w:r>
      <w:r>
        <w:t>интерфейс</w:t>
      </w:r>
      <w:r w:rsidRPr="00904A22">
        <w:t xml:space="preserve">, </w:t>
      </w:r>
      <w:r>
        <w:t>позволяющий получать различную информацию в автоматизированном виде. Аналогом такого интерфейса является получение сведений по юридическому лицу из ЕГРЮЛ (единого государственного реестра юридических лиц).</w:t>
      </w:r>
      <w:r w:rsidRPr="001478F9">
        <w:t xml:space="preserve"> </w:t>
      </w:r>
    </w:p>
    <w:p w:rsidR="009550BC" w:rsidRPr="00965C90" w:rsidRDefault="009550BC" w:rsidP="00F641F6">
      <w:pPr>
        <w:pStyle w:val="af2"/>
        <w:jc w:val="both"/>
      </w:pPr>
      <w:r>
        <w:t xml:space="preserve">    Открытый</w:t>
      </w:r>
      <w:r w:rsidRPr="00965C90">
        <w:t xml:space="preserve"> </w:t>
      </w:r>
      <w:r w:rsidRPr="00406DBA">
        <w:rPr>
          <w:i/>
          <w:lang w:val="en-US"/>
        </w:rPr>
        <w:t>API</w:t>
      </w:r>
      <w:r w:rsidRPr="00406DBA">
        <w:rPr>
          <w:i/>
        </w:rPr>
        <w:t xml:space="preserve"> (</w:t>
      </w:r>
      <w:r w:rsidRPr="00406DBA">
        <w:rPr>
          <w:i/>
          <w:lang w:val="en-US"/>
        </w:rPr>
        <w:t>Open</w:t>
      </w:r>
      <w:r w:rsidRPr="00406DBA">
        <w:rPr>
          <w:i/>
        </w:rPr>
        <w:t xml:space="preserve"> </w:t>
      </w:r>
      <w:r w:rsidRPr="00406DBA">
        <w:rPr>
          <w:i/>
          <w:lang w:val="en-US"/>
        </w:rPr>
        <w:t>API</w:t>
      </w:r>
      <w:r w:rsidRPr="00406DBA">
        <w:rPr>
          <w:i/>
        </w:rPr>
        <w:t>)</w:t>
      </w:r>
      <w:r w:rsidRPr="00965C90">
        <w:t xml:space="preserve"> –</w:t>
      </w:r>
      <w:r w:rsidRPr="00E72F14">
        <w:t xml:space="preserve"> </w:t>
      </w:r>
      <w:r>
        <w:t xml:space="preserve">Программный интерфейс, построенных на единых технических международных стандартах. Технология сокращает трудозатраты на работу с программным интерфейсом как со стороны программистов, так и со стороны пользователей. Что еще более важно, эта технология обеспечивает отсутствие монополизма на использование программного интерфейса.  </w:t>
      </w:r>
    </w:p>
    <w:p w:rsidR="009550BC" w:rsidRDefault="009550BC" w:rsidP="00CA0B56">
      <w:pPr>
        <w:pStyle w:val="af2"/>
      </w:pPr>
    </w:p>
    <w:p w:rsidR="009550BC" w:rsidRPr="00605972" w:rsidRDefault="009550BC" w:rsidP="00CA0B56">
      <w:pPr>
        <w:pStyle w:val="af2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94811"/>
      <w:docPartObj>
        <w:docPartGallery w:val="Page Numbers (Top of Page)"/>
        <w:docPartUnique/>
      </w:docPartObj>
    </w:sdtPr>
    <w:sdtEndPr/>
    <w:sdtContent>
      <w:p w:rsidR="009550BC" w:rsidRDefault="009550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5C6">
          <w:rPr>
            <w:noProof/>
          </w:rPr>
          <w:t>19</w:t>
        </w:r>
        <w:r>
          <w:fldChar w:fldCharType="end"/>
        </w:r>
      </w:p>
    </w:sdtContent>
  </w:sdt>
  <w:p w:rsidR="009550BC" w:rsidRDefault="009550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64B"/>
    <w:multiLevelType w:val="hybridMultilevel"/>
    <w:tmpl w:val="251E54DA"/>
    <w:lvl w:ilvl="0" w:tplc="4DA4FF48">
      <w:start w:val="8"/>
      <w:numFmt w:val="upperLetter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AB3CEB"/>
    <w:multiLevelType w:val="hybridMultilevel"/>
    <w:tmpl w:val="64C099D6"/>
    <w:lvl w:ilvl="0" w:tplc="D27A138C">
      <w:start w:val="1"/>
      <w:numFmt w:val="upperLetter"/>
      <w:lvlText w:val="%1)"/>
      <w:lvlJc w:val="left"/>
      <w:pPr>
        <w:ind w:left="1542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030D90"/>
    <w:multiLevelType w:val="hybridMultilevel"/>
    <w:tmpl w:val="51D81E36"/>
    <w:lvl w:ilvl="0" w:tplc="8070BF9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48327B"/>
    <w:multiLevelType w:val="hybridMultilevel"/>
    <w:tmpl w:val="B1EC1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85E29"/>
    <w:multiLevelType w:val="hybridMultilevel"/>
    <w:tmpl w:val="33B28E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4BF9"/>
    <w:multiLevelType w:val="hybridMultilevel"/>
    <w:tmpl w:val="D6947CAC"/>
    <w:lvl w:ilvl="0" w:tplc="6F7415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040D8"/>
    <w:multiLevelType w:val="hybridMultilevel"/>
    <w:tmpl w:val="73609350"/>
    <w:lvl w:ilvl="0" w:tplc="DA5A5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17634"/>
    <w:multiLevelType w:val="hybridMultilevel"/>
    <w:tmpl w:val="A27A9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2265C"/>
    <w:multiLevelType w:val="hybridMultilevel"/>
    <w:tmpl w:val="C216582E"/>
    <w:lvl w:ilvl="0" w:tplc="81D2F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249C2"/>
    <w:multiLevelType w:val="hybridMultilevel"/>
    <w:tmpl w:val="D6947CAC"/>
    <w:lvl w:ilvl="0" w:tplc="6F7415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145B5"/>
    <w:multiLevelType w:val="hybridMultilevel"/>
    <w:tmpl w:val="F26A7FBE"/>
    <w:lvl w:ilvl="0" w:tplc="3B42DDE8">
      <w:start w:val="11"/>
      <w:numFmt w:val="upperLetter"/>
      <w:lvlText w:val="%1)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AA51D22"/>
    <w:multiLevelType w:val="hybridMultilevel"/>
    <w:tmpl w:val="3E883F30"/>
    <w:lvl w:ilvl="0" w:tplc="15F4A02C">
      <w:start w:val="8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4EF57F2"/>
    <w:multiLevelType w:val="hybridMultilevel"/>
    <w:tmpl w:val="150C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171F9"/>
    <w:multiLevelType w:val="hybridMultilevel"/>
    <w:tmpl w:val="EC400AE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11">
      <w:start w:val="1"/>
      <w:numFmt w:val="decimal"/>
      <w:lvlText w:val="%4)"/>
      <w:lvlJc w:val="left"/>
      <w:pPr>
        <w:ind w:left="4472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A03B99"/>
    <w:multiLevelType w:val="hybridMultilevel"/>
    <w:tmpl w:val="6414D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905D2"/>
    <w:multiLevelType w:val="hybridMultilevel"/>
    <w:tmpl w:val="F84E72CE"/>
    <w:lvl w:ilvl="0" w:tplc="EF96E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12E51"/>
    <w:multiLevelType w:val="hybridMultilevel"/>
    <w:tmpl w:val="62CA53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97533"/>
    <w:multiLevelType w:val="hybridMultilevel"/>
    <w:tmpl w:val="D81685F0"/>
    <w:lvl w:ilvl="0" w:tplc="FAA65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75E55"/>
    <w:multiLevelType w:val="hybridMultilevel"/>
    <w:tmpl w:val="7DD01F22"/>
    <w:lvl w:ilvl="0" w:tplc="FAA657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F7A73"/>
    <w:multiLevelType w:val="hybridMultilevel"/>
    <w:tmpl w:val="DE24A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A264D0"/>
    <w:multiLevelType w:val="hybridMultilevel"/>
    <w:tmpl w:val="A57C2406"/>
    <w:lvl w:ilvl="0" w:tplc="D73EE646">
      <w:start w:val="1"/>
      <w:numFmt w:val="upperRoman"/>
      <w:lvlText w:val="%1)"/>
      <w:lvlJc w:val="left"/>
      <w:pPr>
        <w:ind w:left="13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19"/>
  </w:num>
  <w:num w:numId="5">
    <w:abstractNumId w:val="17"/>
  </w:num>
  <w:num w:numId="6">
    <w:abstractNumId w:val="15"/>
  </w:num>
  <w:num w:numId="7">
    <w:abstractNumId w:val="8"/>
  </w:num>
  <w:num w:numId="8">
    <w:abstractNumId w:val="18"/>
  </w:num>
  <w:num w:numId="9">
    <w:abstractNumId w:val="5"/>
  </w:num>
  <w:num w:numId="10">
    <w:abstractNumId w:val="3"/>
  </w:num>
  <w:num w:numId="11">
    <w:abstractNumId w:val="13"/>
  </w:num>
  <w:num w:numId="12">
    <w:abstractNumId w:val="2"/>
  </w:num>
  <w:num w:numId="13">
    <w:abstractNumId w:val="14"/>
  </w:num>
  <w:num w:numId="14">
    <w:abstractNumId w:val="7"/>
  </w:num>
  <w:num w:numId="15">
    <w:abstractNumId w:val="12"/>
  </w:num>
  <w:num w:numId="16">
    <w:abstractNumId w:val="1"/>
  </w:num>
  <w:num w:numId="17">
    <w:abstractNumId w:val="11"/>
  </w:num>
  <w:num w:numId="18">
    <w:abstractNumId w:val="0"/>
  </w:num>
  <w:num w:numId="19">
    <w:abstractNumId w:val="20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6"/>
    <w:rsid w:val="00005FC8"/>
    <w:rsid w:val="00006DE6"/>
    <w:rsid w:val="000361FD"/>
    <w:rsid w:val="00063344"/>
    <w:rsid w:val="00074F08"/>
    <w:rsid w:val="0009088D"/>
    <w:rsid w:val="000E009B"/>
    <w:rsid w:val="000E62A1"/>
    <w:rsid w:val="000F25C6"/>
    <w:rsid w:val="000F7C23"/>
    <w:rsid w:val="00122ACF"/>
    <w:rsid w:val="00145EC8"/>
    <w:rsid w:val="0015384C"/>
    <w:rsid w:val="0018319B"/>
    <w:rsid w:val="00187D69"/>
    <w:rsid w:val="001A0313"/>
    <w:rsid w:val="001D43FF"/>
    <w:rsid w:val="001D5CCB"/>
    <w:rsid w:val="001D7C06"/>
    <w:rsid w:val="001E1217"/>
    <w:rsid w:val="001E26B9"/>
    <w:rsid w:val="001E288B"/>
    <w:rsid w:val="001F6999"/>
    <w:rsid w:val="002021B3"/>
    <w:rsid w:val="00206C94"/>
    <w:rsid w:val="00214A9F"/>
    <w:rsid w:val="002177B7"/>
    <w:rsid w:val="002205B9"/>
    <w:rsid w:val="00224182"/>
    <w:rsid w:val="00225DA5"/>
    <w:rsid w:val="0024168F"/>
    <w:rsid w:val="002628F5"/>
    <w:rsid w:val="00271340"/>
    <w:rsid w:val="00273787"/>
    <w:rsid w:val="00280712"/>
    <w:rsid w:val="00293BFB"/>
    <w:rsid w:val="002A380F"/>
    <w:rsid w:val="002B14E2"/>
    <w:rsid w:val="002B4E1D"/>
    <w:rsid w:val="002B7764"/>
    <w:rsid w:val="002C5888"/>
    <w:rsid w:val="002E034A"/>
    <w:rsid w:val="002E2D4C"/>
    <w:rsid w:val="002E69A3"/>
    <w:rsid w:val="00314BE2"/>
    <w:rsid w:val="00326CD7"/>
    <w:rsid w:val="003319C2"/>
    <w:rsid w:val="00341423"/>
    <w:rsid w:val="003447BF"/>
    <w:rsid w:val="00345964"/>
    <w:rsid w:val="0034794E"/>
    <w:rsid w:val="0035453D"/>
    <w:rsid w:val="0037083C"/>
    <w:rsid w:val="00385DC9"/>
    <w:rsid w:val="0039030F"/>
    <w:rsid w:val="00391E68"/>
    <w:rsid w:val="00393D0B"/>
    <w:rsid w:val="003967F0"/>
    <w:rsid w:val="003A1A66"/>
    <w:rsid w:val="003B27B3"/>
    <w:rsid w:val="003B2F16"/>
    <w:rsid w:val="003B68A2"/>
    <w:rsid w:val="003C4DC3"/>
    <w:rsid w:val="003F1FB3"/>
    <w:rsid w:val="004277CD"/>
    <w:rsid w:val="00442B0E"/>
    <w:rsid w:val="004533FA"/>
    <w:rsid w:val="00453BB5"/>
    <w:rsid w:val="0046437E"/>
    <w:rsid w:val="00472F78"/>
    <w:rsid w:val="00495F72"/>
    <w:rsid w:val="004A0BB0"/>
    <w:rsid w:val="004A1817"/>
    <w:rsid w:val="004A6983"/>
    <w:rsid w:val="004A7C8C"/>
    <w:rsid w:val="004B1399"/>
    <w:rsid w:val="004D4362"/>
    <w:rsid w:val="004D7977"/>
    <w:rsid w:val="004E6E66"/>
    <w:rsid w:val="004E7F5F"/>
    <w:rsid w:val="00506790"/>
    <w:rsid w:val="0051076F"/>
    <w:rsid w:val="005217CA"/>
    <w:rsid w:val="005303A9"/>
    <w:rsid w:val="00536E5F"/>
    <w:rsid w:val="005417C8"/>
    <w:rsid w:val="0054699F"/>
    <w:rsid w:val="00546FD3"/>
    <w:rsid w:val="00556CE2"/>
    <w:rsid w:val="00574A7B"/>
    <w:rsid w:val="0058734D"/>
    <w:rsid w:val="005923B8"/>
    <w:rsid w:val="00593EE8"/>
    <w:rsid w:val="005A2B53"/>
    <w:rsid w:val="005A6516"/>
    <w:rsid w:val="005C74F9"/>
    <w:rsid w:val="005E3BED"/>
    <w:rsid w:val="005F5722"/>
    <w:rsid w:val="005F604A"/>
    <w:rsid w:val="0063350F"/>
    <w:rsid w:val="00636CA8"/>
    <w:rsid w:val="0065463D"/>
    <w:rsid w:val="00654B92"/>
    <w:rsid w:val="00677237"/>
    <w:rsid w:val="00680846"/>
    <w:rsid w:val="0068097E"/>
    <w:rsid w:val="006850A9"/>
    <w:rsid w:val="00694B52"/>
    <w:rsid w:val="006A73AB"/>
    <w:rsid w:val="006C67B5"/>
    <w:rsid w:val="006D3E35"/>
    <w:rsid w:val="006D473F"/>
    <w:rsid w:val="006D7223"/>
    <w:rsid w:val="006E0300"/>
    <w:rsid w:val="006E3216"/>
    <w:rsid w:val="006E46DB"/>
    <w:rsid w:val="006E69DA"/>
    <w:rsid w:val="006F2D42"/>
    <w:rsid w:val="006F69BB"/>
    <w:rsid w:val="00712261"/>
    <w:rsid w:val="00745088"/>
    <w:rsid w:val="007471AE"/>
    <w:rsid w:val="0078758C"/>
    <w:rsid w:val="00792BAB"/>
    <w:rsid w:val="0079347C"/>
    <w:rsid w:val="00797F9B"/>
    <w:rsid w:val="007A6F37"/>
    <w:rsid w:val="007B0A15"/>
    <w:rsid w:val="007C60BA"/>
    <w:rsid w:val="007C789D"/>
    <w:rsid w:val="007D2D86"/>
    <w:rsid w:val="007F04CC"/>
    <w:rsid w:val="008066C3"/>
    <w:rsid w:val="008072E7"/>
    <w:rsid w:val="00814AA3"/>
    <w:rsid w:val="0084282B"/>
    <w:rsid w:val="008431A3"/>
    <w:rsid w:val="00844355"/>
    <w:rsid w:val="0084616C"/>
    <w:rsid w:val="00852EB6"/>
    <w:rsid w:val="00860295"/>
    <w:rsid w:val="00864DDD"/>
    <w:rsid w:val="00865194"/>
    <w:rsid w:val="00873D28"/>
    <w:rsid w:val="008809CD"/>
    <w:rsid w:val="00893963"/>
    <w:rsid w:val="008A3B97"/>
    <w:rsid w:val="008B1628"/>
    <w:rsid w:val="008B4D42"/>
    <w:rsid w:val="008D036A"/>
    <w:rsid w:val="008E4E5D"/>
    <w:rsid w:val="008E4EE4"/>
    <w:rsid w:val="008F64E4"/>
    <w:rsid w:val="009100D0"/>
    <w:rsid w:val="0091784E"/>
    <w:rsid w:val="00921E41"/>
    <w:rsid w:val="00924D41"/>
    <w:rsid w:val="00927E3F"/>
    <w:rsid w:val="00935C72"/>
    <w:rsid w:val="00936312"/>
    <w:rsid w:val="00951BBF"/>
    <w:rsid w:val="0095292C"/>
    <w:rsid w:val="009550BC"/>
    <w:rsid w:val="009561C0"/>
    <w:rsid w:val="00960881"/>
    <w:rsid w:val="0096584C"/>
    <w:rsid w:val="009710F9"/>
    <w:rsid w:val="0097150A"/>
    <w:rsid w:val="00973239"/>
    <w:rsid w:val="00974747"/>
    <w:rsid w:val="00980F07"/>
    <w:rsid w:val="00985FBC"/>
    <w:rsid w:val="00992BFF"/>
    <w:rsid w:val="0099381F"/>
    <w:rsid w:val="009D64BB"/>
    <w:rsid w:val="009E0F4D"/>
    <w:rsid w:val="009E39E5"/>
    <w:rsid w:val="00A01FCA"/>
    <w:rsid w:val="00A04C59"/>
    <w:rsid w:val="00A150B7"/>
    <w:rsid w:val="00A205E6"/>
    <w:rsid w:val="00A22266"/>
    <w:rsid w:val="00A23E5B"/>
    <w:rsid w:val="00A36B8D"/>
    <w:rsid w:val="00A548C2"/>
    <w:rsid w:val="00A62B33"/>
    <w:rsid w:val="00A65A4F"/>
    <w:rsid w:val="00A65EBE"/>
    <w:rsid w:val="00A81D90"/>
    <w:rsid w:val="00A9471F"/>
    <w:rsid w:val="00AC755E"/>
    <w:rsid w:val="00B0186C"/>
    <w:rsid w:val="00B04B45"/>
    <w:rsid w:val="00B07228"/>
    <w:rsid w:val="00B15CDA"/>
    <w:rsid w:val="00B23FAE"/>
    <w:rsid w:val="00B2781A"/>
    <w:rsid w:val="00B35F51"/>
    <w:rsid w:val="00B469E6"/>
    <w:rsid w:val="00B4736C"/>
    <w:rsid w:val="00B73941"/>
    <w:rsid w:val="00B8312A"/>
    <w:rsid w:val="00B9292E"/>
    <w:rsid w:val="00B9438E"/>
    <w:rsid w:val="00BA7540"/>
    <w:rsid w:val="00BB3ADD"/>
    <w:rsid w:val="00BB59D0"/>
    <w:rsid w:val="00BC1E64"/>
    <w:rsid w:val="00BF10D6"/>
    <w:rsid w:val="00BF3CF9"/>
    <w:rsid w:val="00C10FCC"/>
    <w:rsid w:val="00C24522"/>
    <w:rsid w:val="00C344E0"/>
    <w:rsid w:val="00C464D8"/>
    <w:rsid w:val="00C652D9"/>
    <w:rsid w:val="00C72E01"/>
    <w:rsid w:val="00C7494D"/>
    <w:rsid w:val="00C81B90"/>
    <w:rsid w:val="00C81D8E"/>
    <w:rsid w:val="00CA0B56"/>
    <w:rsid w:val="00CA3A7D"/>
    <w:rsid w:val="00CB35C0"/>
    <w:rsid w:val="00CC01E4"/>
    <w:rsid w:val="00CE38F7"/>
    <w:rsid w:val="00CE6F49"/>
    <w:rsid w:val="00CE7F65"/>
    <w:rsid w:val="00D0067A"/>
    <w:rsid w:val="00D04AD2"/>
    <w:rsid w:val="00D05967"/>
    <w:rsid w:val="00D14886"/>
    <w:rsid w:val="00D3103B"/>
    <w:rsid w:val="00D914E6"/>
    <w:rsid w:val="00D92875"/>
    <w:rsid w:val="00DC4BDF"/>
    <w:rsid w:val="00DC6F60"/>
    <w:rsid w:val="00DD418A"/>
    <w:rsid w:val="00DE2D9B"/>
    <w:rsid w:val="00DE5FCC"/>
    <w:rsid w:val="00DF1D4D"/>
    <w:rsid w:val="00E235D1"/>
    <w:rsid w:val="00E302D5"/>
    <w:rsid w:val="00E33F2A"/>
    <w:rsid w:val="00E56421"/>
    <w:rsid w:val="00E63B58"/>
    <w:rsid w:val="00E674B7"/>
    <w:rsid w:val="00E755D2"/>
    <w:rsid w:val="00E82B5D"/>
    <w:rsid w:val="00E8794F"/>
    <w:rsid w:val="00E87BC8"/>
    <w:rsid w:val="00E93F64"/>
    <w:rsid w:val="00EA1378"/>
    <w:rsid w:val="00EA2B5B"/>
    <w:rsid w:val="00EB13B0"/>
    <w:rsid w:val="00EB72EA"/>
    <w:rsid w:val="00EC358C"/>
    <w:rsid w:val="00EC7A7D"/>
    <w:rsid w:val="00ED7EB6"/>
    <w:rsid w:val="00F0217D"/>
    <w:rsid w:val="00F641F6"/>
    <w:rsid w:val="00F734F1"/>
    <w:rsid w:val="00F82A04"/>
    <w:rsid w:val="00FA32FE"/>
    <w:rsid w:val="00FA3622"/>
    <w:rsid w:val="00FB663D"/>
    <w:rsid w:val="00FB7B9B"/>
    <w:rsid w:val="00FD3E3A"/>
    <w:rsid w:val="00FD6894"/>
    <w:rsid w:val="00FE6071"/>
    <w:rsid w:val="33B3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12"/>
  </w:style>
  <w:style w:type="paragraph" w:styleId="1">
    <w:name w:val="heading 1"/>
    <w:basedOn w:val="a"/>
    <w:link w:val="10"/>
    <w:uiPriority w:val="9"/>
    <w:qFormat/>
    <w:rsid w:val="0065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E5F"/>
  </w:style>
  <w:style w:type="paragraph" w:styleId="a6">
    <w:name w:val="footer"/>
    <w:basedOn w:val="a"/>
    <w:link w:val="a7"/>
    <w:uiPriority w:val="99"/>
    <w:unhideWhenUsed/>
    <w:rsid w:val="0053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E5F"/>
  </w:style>
  <w:style w:type="paragraph" w:styleId="a8">
    <w:name w:val="List Paragraph"/>
    <w:basedOn w:val="a"/>
    <w:uiPriority w:val="34"/>
    <w:qFormat/>
    <w:rsid w:val="008651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34F1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34F1"/>
    <w:rPr>
      <w:rFonts w:ascii="Verdana" w:hAnsi="Verdana"/>
      <w:sz w:val="18"/>
      <w:szCs w:val="18"/>
    </w:rPr>
  </w:style>
  <w:style w:type="character" w:styleId="ab">
    <w:name w:val="Hyperlink"/>
    <w:basedOn w:val="a0"/>
    <w:uiPriority w:val="99"/>
    <w:unhideWhenUsed/>
    <w:rsid w:val="0018319B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831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319B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817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1817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1">
    <w:name w:val="Strong"/>
    <w:qFormat/>
    <w:rsid w:val="00B9292E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5F572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F5722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5F5722"/>
    <w:rPr>
      <w:vertAlign w:val="superscript"/>
    </w:rPr>
  </w:style>
  <w:style w:type="paragraph" w:customStyle="1" w:styleId="s1">
    <w:name w:val="s_1"/>
    <w:basedOn w:val="a"/>
    <w:rsid w:val="008F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12"/>
  </w:style>
  <w:style w:type="paragraph" w:styleId="1">
    <w:name w:val="heading 1"/>
    <w:basedOn w:val="a"/>
    <w:link w:val="10"/>
    <w:uiPriority w:val="9"/>
    <w:qFormat/>
    <w:rsid w:val="0065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6E5F"/>
  </w:style>
  <w:style w:type="paragraph" w:styleId="a6">
    <w:name w:val="footer"/>
    <w:basedOn w:val="a"/>
    <w:link w:val="a7"/>
    <w:uiPriority w:val="99"/>
    <w:unhideWhenUsed/>
    <w:rsid w:val="0053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6E5F"/>
  </w:style>
  <w:style w:type="paragraph" w:styleId="a8">
    <w:name w:val="List Paragraph"/>
    <w:basedOn w:val="a"/>
    <w:uiPriority w:val="34"/>
    <w:qFormat/>
    <w:rsid w:val="008651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734F1"/>
    <w:pPr>
      <w:spacing w:after="0" w:line="240" w:lineRule="auto"/>
    </w:pPr>
    <w:rPr>
      <w:rFonts w:ascii="Verdana" w:hAnsi="Verdana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34F1"/>
    <w:rPr>
      <w:rFonts w:ascii="Verdana" w:hAnsi="Verdana"/>
      <w:sz w:val="18"/>
      <w:szCs w:val="18"/>
    </w:rPr>
  </w:style>
  <w:style w:type="character" w:styleId="ab">
    <w:name w:val="Hyperlink"/>
    <w:basedOn w:val="a0"/>
    <w:uiPriority w:val="99"/>
    <w:unhideWhenUsed/>
    <w:rsid w:val="0018319B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831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83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8319B"/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1817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A1817"/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f1">
    <w:name w:val="Strong"/>
    <w:qFormat/>
    <w:rsid w:val="00B9292E"/>
    <w:rPr>
      <w:b/>
      <w:bCs/>
    </w:rPr>
  </w:style>
  <w:style w:type="paragraph" w:styleId="af2">
    <w:name w:val="footnote text"/>
    <w:basedOn w:val="a"/>
    <w:link w:val="af3"/>
    <w:uiPriority w:val="99"/>
    <w:unhideWhenUsed/>
    <w:rsid w:val="005F5722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5F5722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5F5722"/>
    <w:rPr>
      <w:vertAlign w:val="superscript"/>
    </w:rPr>
  </w:style>
  <w:style w:type="paragraph" w:customStyle="1" w:styleId="s1">
    <w:name w:val="s_1"/>
    <w:basedOn w:val="a"/>
    <w:rsid w:val="008F6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4B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partad.ru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intech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8059A-9A71-49DE-84C1-71DBBE08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cbr</Company>
  <LinksUpToDate>false</LinksUpToDate>
  <CharactersWithSpaces>46129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Минченко Роман Сергеевич</dc:creator>
  <cp:lastModifiedBy>Владимир Фомин</cp:lastModifiedBy>
  <cp:revision>2</cp:revision>
  <cp:lastPrinted>2019-12-09T12:00:00Z</cp:lastPrinted>
  <dcterms:created xsi:type="dcterms:W3CDTF">2019-12-09T12:26:00Z</dcterms:created>
  <dcterms:modified xsi:type="dcterms:W3CDTF">2019-12-09T12:26:00Z</dcterms:modified>
</cp:coreProperties>
</file>